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1B36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宋体" w:hAnsi="宋体" w:eastAsia="宋体" w:cs="宋体"/>
          <w:b/>
          <w:bCs/>
          <w:sz w:val="24"/>
          <w:szCs w:val="24"/>
          <w:lang w:val="en-US" w:eastAsia="zh-CN"/>
        </w:rPr>
      </w:pPr>
      <w:r>
        <w:rPr>
          <w:rFonts w:hint="eastAsia" w:ascii="宋体" w:hAnsi="宋体" w:eastAsia="宋体" w:cs="宋体"/>
          <w:b/>
          <w:bCs/>
          <w:sz w:val="28"/>
          <w:szCs w:val="28"/>
          <w:lang w:val="en-US" w:eastAsia="zh-CN"/>
        </w:rPr>
        <w:t>附件：</w:t>
      </w:r>
    </w:p>
    <w:p w14:paraId="321FCDF1">
      <w:pPr>
        <w:keepNext w:val="0"/>
        <w:keepLines w:val="0"/>
        <w:pageBreakBefore w:val="0"/>
        <w:kinsoku/>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 w:val="0"/>
          <w:bCs/>
          <w:sz w:val="28"/>
          <w:szCs w:val="28"/>
          <w:highlight w:val="none"/>
        </w:rPr>
      </w:pPr>
      <w:r>
        <w:rPr>
          <w:rFonts w:hint="eastAsia" w:ascii="Times New Roman" w:hAnsi="Times New Roman" w:eastAsia="宋体" w:cs="Times New Roman"/>
          <w:b/>
          <w:bCs w:val="0"/>
          <w:sz w:val="28"/>
          <w:szCs w:val="28"/>
          <w:highlight w:val="none"/>
          <w:lang w:val="en-US" w:eastAsia="zh-CN"/>
        </w:rPr>
        <w:t>一、</w:t>
      </w:r>
      <w:r>
        <w:rPr>
          <w:rFonts w:hint="default" w:ascii="Times New Roman" w:hAnsi="Times New Roman" w:eastAsia="宋体" w:cs="Times New Roman"/>
          <w:b/>
          <w:bCs w:val="0"/>
          <w:sz w:val="28"/>
          <w:szCs w:val="28"/>
          <w:highlight w:val="none"/>
        </w:rPr>
        <w:t>采购标的汇总表</w:t>
      </w:r>
    </w:p>
    <w:tbl>
      <w:tblPr>
        <w:tblStyle w:val="3"/>
        <w:tblW w:w="9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582"/>
        <w:gridCol w:w="2265"/>
        <w:gridCol w:w="795"/>
        <w:gridCol w:w="870"/>
        <w:gridCol w:w="1752"/>
        <w:gridCol w:w="1200"/>
        <w:gridCol w:w="1489"/>
      </w:tblGrid>
      <w:tr w14:paraId="3692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444" w:type="dxa"/>
            <w:noWrap w:val="0"/>
            <w:vAlign w:val="center"/>
          </w:tcPr>
          <w:p w14:paraId="75E075FE">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val="0"/>
                <w:color w:val="333333"/>
                <w:sz w:val="24"/>
                <w:szCs w:val="24"/>
                <w:highlight w:val="none"/>
                <w:lang w:val="en-US" w:eastAsia="zh-CN"/>
              </w:rPr>
            </w:pPr>
            <w:r>
              <w:rPr>
                <w:rFonts w:hint="default" w:ascii="Times New Roman" w:hAnsi="Times New Roman" w:eastAsia="宋体" w:cs="Times New Roman"/>
                <w:b/>
                <w:bCs w:val="0"/>
                <w:color w:val="333333"/>
                <w:sz w:val="24"/>
                <w:szCs w:val="24"/>
                <w:highlight w:val="none"/>
                <w:lang w:val="en-US" w:eastAsia="zh-CN"/>
              </w:rPr>
              <w:t>包号</w:t>
            </w:r>
          </w:p>
        </w:tc>
        <w:tc>
          <w:tcPr>
            <w:tcW w:w="582" w:type="dxa"/>
            <w:noWrap w:val="0"/>
            <w:vAlign w:val="center"/>
          </w:tcPr>
          <w:p w14:paraId="33149D42">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val="0"/>
                <w:color w:val="333333"/>
                <w:sz w:val="24"/>
                <w:szCs w:val="24"/>
                <w:highlight w:val="none"/>
                <w:lang w:val="en-US" w:eastAsia="zh-CN"/>
              </w:rPr>
            </w:pPr>
            <w:r>
              <w:rPr>
                <w:rFonts w:hint="default" w:ascii="Times New Roman" w:hAnsi="Times New Roman" w:eastAsia="宋体" w:cs="Times New Roman"/>
                <w:b/>
                <w:bCs w:val="0"/>
                <w:color w:val="333333"/>
                <w:sz w:val="24"/>
                <w:szCs w:val="24"/>
                <w:highlight w:val="none"/>
                <w:lang w:val="en-US" w:eastAsia="zh-CN"/>
              </w:rPr>
              <w:t>序号</w:t>
            </w:r>
          </w:p>
        </w:tc>
        <w:tc>
          <w:tcPr>
            <w:tcW w:w="2265" w:type="dxa"/>
            <w:noWrap w:val="0"/>
            <w:vAlign w:val="center"/>
          </w:tcPr>
          <w:p w14:paraId="709DECF6">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val="0"/>
                <w:color w:val="333333"/>
                <w:sz w:val="24"/>
                <w:szCs w:val="24"/>
                <w:highlight w:val="none"/>
              </w:rPr>
            </w:pPr>
            <w:r>
              <w:rPr>
                <w:rFonts w:hint="default" w:ascii="Times New Roman" w:hAnsi="Times New Roman" w:eastAsia="宋体" w:cs="Times New Roman"/>
                <w:b/>
                <w:bCs w:val="0"/>
                <w:color w:val="333333"/>
                <w:sz w:val="24"/>
                <w:szCs w:val="24"/>
                <w:highlight w:val="none"/>
              </w:rPr>
              <w:t>标的名称</w:t>
            </w:r>
          </w:p>
        </w:tc>
        <w:tc>
          <w:tcPr>
            <w:tcW w:w="795" w:type="dxa"/>
            <w:noWrap w:val="0"/>
            <w:vAlign w:val="center"/>
          </w:tcPr>
          <w:p w14:paraId="5F718570">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val="0"/>
                <w:color w:val="333333"/>
                <w:sz w:val="24"/>
                <w:szCs w:val="24"/>
                <w:highlight w:val="none"/>
              </w:rPr>
            </w:pPr>
            <w:r>
              <w:rPr>
                <w:rFonts w:hint="default" w:ascii="Times New Roman" w:hAnsi="Times New Roman" w:eastAsia="宋体" w:cs="Times New Roman"/>
                <w:b/>
                <w:bCs w:val="0"/>
                <w:color w:val="333333"/>
                <w:sz w:val="24"/>
                <w:szCs w:val="24"/>
                <w:highlight w:val="none"/>
              </w:rPr>
              <w:t>数量</w:t>
            </w:r>
          </w:p>
        </w:tc>
        <w:tc>
          <w:tcPr>
            <w:tcW w:w="870" w:type="dxa"/>
            <w:noWrap w:val="0"/>
            <w:vAlign w:val="center"/>
          </w:tcPr>
          <w:p w14:paraId="4750DAD4">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val="0"/>
                <w:color w:val="333333"/>
                <w:sz w:val="24"/>
                <w:szCs w:val="24"/>
                <w:highlight w:val="none"/>
              </w:rPr>
            </w:pPr>
            <w:r>
              <w:rPr>
                <w:rFonts w:hint="default" w:ascii="Times New Roman" w:hAnsi="Times New Roman" w:eastAsia="宋体" w:cs="Times New Roman"/>
                <w:b/>
                <w:bCs w:val="0"/>
                <w:color w:val="333333"/>
                <w:sz w:val="24"/>
                <w:szCs w:val="24"/>
                <w:highlight w:val="none"/>
              </w:rPr>
              <w:t>计量单位</w:t>
            </w:r>
          </w:p>
        </w:tc>
        <w:tc>
          <w:tcPr>
            <w:tcW w:w="1752" w:type="dxa"/>
            <w:noWrap w:val="0"/>
            <w:vAlign w:val="center"/>
          </w:tcPr>
          <w:p w14:paraId="179E77DD">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val="0"/>
                <w:color w:val="333333"/>
                <w:sz w:val="24"/>
                <w:szCs w:val="24"/>
                <w:highlight w:val="none"/>
              </w:rPr>
            </w:pPr>
            <w:r>
              <w:rPr>
                <w:rFonts w:hint="default" w:ascii="Times New Roman" w:hAnsi="Times New Roman" w:eastAsia="宋体" w:cs="Times New Roman"/>
                <w:b/>
                <w:bCs w:val="0"/>
                <w:color w:val="333333"/>
                <w:sz w:val="24"/>
                <w:szCs w:val="24"/>
                <w:highlight w:val="none"/>
                <w:lang w:val="en-US" w:eastAsia="zh-CN"/>
              </w:rPr>
              <w:t>采购品目及编码</w:t>
            </w:r>
          </w:p>
        </w:tc>
        <w:tc>
          <w:tcPr>
            <w:tcW w:w="1200" w:type="dxa"/>
            <w:noWrap w:val="0"/>
            <w:vAlign w:val="center"/>
          </w:tcPr>
          <w:p w14:paraId="3EDAA5AD">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val="0"/>
                <w:color w:val="333333"/>
                <w:sz w:val="24"/>
                <w:szCs w:val="24"/>
                <w:highlight w:val="none"/>
              </w:rPr>
            </w:pPr>
            <w:r>
              <w:rPr>
                <w:rFonts w:hint="default" w:ascii="Times New Roman" w:hAnsi="Times New Roman" w:eastAsia="宋体" w:cs="Times New Roman"/>
                <w:b/>
                <w:bCs w:val="0"/>
                <w:color w:val="333333"/>
                <w:sz w:val="24"/>
                <w:szCs w:val="24"/>
                <w:highlight w:val="none"/>
              </w:rPr>
              <w:t>品目预算（元）</w:t>
            </w:r>
          </w:p>
        </w:tc>
        <w:tc>
          <w:tcPr>
            <w:tcW w:w="1489" w:type="dxa"/>
            <w:noWrap w:val="0"/>
            <w:vAlign w:val="center"/>
          </w:tcPr>
          <w:p w14:paraId="7D0E6913">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val="0"/>
                <w:sz w:val="24"/>
                <w:szCs w:val="24"/>
                <w:highlight w:val="none"/>
                <w:lang w:val="en-US" w:eastAsia="zh-CN"/>
              </w:rPr>
            </w:pPr>
            <w:r>
              <w:rPr>
                <w:rFonts w:hint="default" w:ascii="Times New Roman" w:hAnsi="Times New Roman" w:eastAsia="宋体" w:cs="Times New Roman"/>
                <w:b/>
                <w:bCs w:val="0"/>
                <w:sz w:val="24"/>
                <w:szCs w:val="24"/>
                <w:highlight w:val="none"/>
                <w:lang w:val="en-US" w:eastAsia="zh-CN"/>
              </w:rPr>
              <w:t>所属行业</w:t>
            </w:r>
          </w:p>
        </w:tc>
      </w:tr>
      <w:tr w14:paraId="5B8A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444" w:type="dxa"/>
            <w:vMerge w:val="restart"/>
            <w:noWrap w:val="0"/>
            <w:vAlign w:val="center"/>
          </w:tcPr>
          <w:p w14:paraId="60EA29A3">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r>
              <w:rPr>
                <w:rFonts w:hint="default" w:ascii="Times New Roman" w:hAnsi="Times New Roman" w:eastAsia="宋体" w:cs="Times New Roman"/>
                <w:bCs/>
                <w:color w:val="333333"/>
                <w:sz w:val="24"/>
                <w:szCs w:val="24"/>
                <w:highlight w:val="none"/>
                <w:lang w:val="en-US" w:eastAsia="zh-CN"/>
              </w:rPr>
              <w:t>1</w:t>
            </w:r>
          </w:p>
        </w:tc>
        <w:tc>
          <w:tcPr>
            <w:tcW w:w="582" w:type="dxa"/>
            <w:noWrap w:val="0"/>
            <w:vAlign w:val="center"/>
          </w:tcPr>
          <w:p w14:paraId="0DFDF89F">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rPr>
            </w:pPr>
            <w:r>
              <w:rPr>
                <w:rFonts w:hint="eastAsia" w:ascii="Times New Roman" w:hAnsi="Times New Roman" w:eastAsia="宋体" w:cs="Times New Roman"/>
                <w:bCs/>
                <w:color w:val="333333"/>
                <w:sz w:val="24"/>
                <w:szCs w:val="24"/>
                <w:highlight w:val="none"/>
                <w:lang w:val="en-US" w:eastAsia="zh-CN"/>
              </w:rPr>
              <w:t>1</w:t>
            </w:r>
          </w:p>
        </w:tc>
        <w:tc>
          <w:tcPr>
            <w:tcW w:w="2265" w:type="dxa"/>
            <w:noWrap w:val="0"/>
            <w:vAlign w:val="center"/>
          </w:tcPr>
          <w:p w14:paraId="1B89D138">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r>
              <w:rPr>
                <w:rFonts w:hint="default" w:ascii="Times New Roman" w:hAnsi="Times New Roman" w:eastAsia="宋体" w:cs="Times New Roman"/>
                <w:bCs/>
                <w:color w:val="333333"/>
                <w:sz w:val="24"/>
                <w:szCs w:val="24"/>
                <w:highlight w:val="none"/>
                <w:lang w:val="en-US" w:eastAsia="zh-CN"/>
              </w:rPr>
              <w:t>全国文明村镇常态长效提升服务</w:t>
            </w:r>
          </w:p>
        </w:tc>
        <w:tc>
          <w:tcPr>
            <w:tcW w:w="795" w:type="dxa"/>
            <w:noWrap w:val="0"/>
            <w:vAlign w:val="center"/>
          </w:tcPr>
          <w:p w14:paraId="592C1EE3">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rPr>
            </w:pPr>
            <w:r>
              <w:rPr>
                <w:rFonts w:hint="default" w:ascii="Times New Roman" w:hAnsi="Times New Roman" w:eastAsia="宋体" w:cs="Times New Roman"/>
                <w:bCs/>
                <w:color w:val="333333"/>
                <w:sz w:val="24"/>
                <w:szCs w:val="24"/>
                <w:highlight w:val="none"/>
              </w:rPr>
              <w:t>1</w:t>
            </w:r>
          </w:p>
        </w:tc>
        <w:tc>
          <w:tcPr>
            <w:tcW w:w="870" w:type="dxa"/>
            <w:noWrap w:val="0"/>
            <w:vAlign w:val="center"/>
          </w:tcPr>
          <w:p w14:paraId="51035D53">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rPr>
            </w:pPr>
            <w:r>
              <w:rPr>
                <w:rFonts w:hint="default" w:ascii="Times New Roman" w:hAnsi="Times New Roman" w:eastAsia="宋体" w:cs="Times New Roman"/>
                <w:bCs/>
                <w:color w:val="333333"/>
                <w:sz w:val="24"/>
                <w:szCs w:val="24"/>
                <w:highlight w:val="none"/>
              </w:rPr>
              <w:t>项</w:t>
            </w:r>
          </w:p>
        </w:tc>
        <w:tc>
          <w:tcPr>
            <w:tcW w:w="1752" w:type="dxa"/>
            <w:vMerge w:val="restart"/>
            <w:noWrap w:val="0"/>
            <w:vAlign w:val="center"/>
          </w:tcPr>
          <w:p w14:paraId="5BC772D2">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r>
              <w:rPr>
                <w:rFonts w:hint="default" w:ascii="Times New Roman" w:hAnsi="Times New Roman" w:eastAsia="宋体" w:cs="Times New Roman"/>
                <w:bCs/>
                <w:color w:val="333333"/>
                <w:sz w:val="24"/>
                <w:szCs w:val="24"/>
                <w:highlight w:val="none"/>
                <w:lang w:val="en-US" w:eastAsia="zh-CN"/>
              </w:rPr>
              <w:t>C06030100-艺术创作、表演和交流服务</w:t>
            </w:r>
          </w:p>
        </w:tc>
        <w:tc>
          <w:tcPr>
            <w:tcW w:w="1200" w:type="dxa"/>
            <w:noWrap w:val="0"/>
            <w:vAlign w:val="center"/>
          </w:tcPr>
          <w:p w14:paraId="07CA21CE">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r>
              <w:rPr>
                <w:rFonts w:hint="default" w:ascii="Times New Roman" w:hAnsi="Times New Roman" w:eastAsia="宋体" w:cs="Times New Roman"/>
                <w:bCs/>
                <w:color w:val="333333"/>
                <w:sz w:val="24"/>
                <w:szCs w:val="24"/>
                <w:highlight w:val="none"/>
                <w:lang w:val="en-US" w:eastAsia="zh-CN"/>
              </w:rPr>
              <w:t>300000</w:t>
            </w:r>
          </w:p>
        </w:tc>
        <w:tc>
          <w:tcPr>
            <w:tcW w:w="1489" w:type="dxa"/>
            <w:vMerge w:val="restart"/>
            <w:noWrap w:val="0"/>
            <w:vAlign w:val="center"/>
          </w:tcPr>
          <w:p w14:paraId="4BD34C36">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r>
              <w:rPr>
                <w:rFonts w:hint="default" w:ascii="Times New Roman" w:hAnsi="Times New Roman" w:eastAsia="宋体" w:cs="Times New Roman"/>
                <w:bCs/>
                <w:color w:val="333333"/>
                <w:sz w:val="24"/>
                <w:szCs w:val="24"/>
                <w:highlight w:val="none"/>
                <w:lang w:val="en-US" w:eastAsia="zh-CN"/>
              </w:rPr>
              <w:t>其他未</w:t>
            </w:r>
          </w:p>
          <w:p w14:paraId="47489F95">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Cs/>
                <w:color w:val="333333"/>
                <w:sz w:val="24"/>
                <w:szCs w:val="24"/>
                <w:highlight w:val="none"/>
                <w:lang w:val="en-US" w:eastAsia="zh-CN"/>
              </w:rPr>
              <w:t>列明行业</w:t>
            </w:r>
          </w:p>
        </w:tc>
      </w:tr>
      <w:tr w14:paraId="7E39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444" w:type="dxa"/>
            <w:vMerge w:val="continue"/>
            <w:noWrap w:val="0"/>
            <w:vAlign w:val="center"/>
          </w:tcPr>
          <w:p w14:paraId="28B78264">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p>
        </w:tc>
        <w:tc>
          <w:tcPr>
            <w:tcW w:w="582" w:type="dxa"/>
            <w:noWrap w:val="0"/>
            <w:vAlign w:val="center"/>
          </w:tcPr>
          <w:p w14:paraId="6BD8710F">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eastAsia" w:ascii="Times New Roman" w:hAnsi="Times New Roman" w:eastAsia="宋体" w:cs="Times New Roman"/>
                <w:bCs/>
                <w:color w:val="333333"/>
                <w:sz w:val="24"/>
                <w:szCs w:val="24"/>
                <w:highlight w:val="none"/>
                <w:lang w:val="en-US" w:eastAsia="zh-CN"/>
              </w:rPr>
              <w:t>2</w:t>
            </w:r>
          </w:p>
        </w:tc>
        <w:tc>
          <w:tcPr>
            <w:tcW w:w="2265" w:type="dxa"/>
            <w:noWrap w:val="0"/>
            <w:vAlign w:val="center"/>
          </w:tcPr>
          <w:p w14:paraId="2F23650B">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default" w:ascii="Times New Roman" w:hAnsi="Times New Roman" w:eastAsia="宋体" w:cs="Times New Roman"/>
                <w:bCs/>
                <w:color w:val="333333"/>
                <w:sz w:val="24"/>
                <w:szCs w:val="24"/>
                <w:highlight w:val="none"/>
                <w:lang w:val="en-US" w:eastAsia="zh-CN"/>
              </w:rPr>
              <w:t>全国文明单位常态长效提升服务</w:t>
            </w:r>
          </w:p>
        </w:tc>
        <w:tc>
          <w:tcPr>
            <w:tcW w:w="795" w:type="dxa"/>
            <w:noWrap w:val="0"/>
            <w:vAlign w:val="center"/>
          </w:tcPr>
          <w:p w14:paraId="2785BB3A">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default" w:ascii="Times New Roman" w:hAnsi="Times New Roman" w:eastAsia="宋体" w:cs="Times New Roman"/>
                <w:bCs/>
                <w:color w:val="333333"/>
                <w:sz w:val="24"/>
                <w:szCs w:val="24"/>
                <w:highlight w:val="none"/>
              </w:rPr>
              <w:t>1</w:t>
            </w:r>
          </w:p>
        </w:tc>
        <w:tc>
          <w:tcPr>
            <w:tcW w:w="870" w:type="dxa"/>
            <w:noWrap w:val="0"/>
            <w:vAlign w:val="center"/>
          </w:tcPr>
          <w:p w14:paraId="4F6777F4">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default" w:ascii="Times New Roman" w:hAnsi="Times New Roman" w:eastAsia="宋体" w:cs="Times New Roman"/>
                <w:bCs/>
                <w:color w:val="333333"/>
                <w:sz w:val="24"/>
                <w:szCs w:val="24"/>
                <w:highlight w:val="none"/>
              </w:rPr>
              <w:t>项</w:t>
            </w:r>
          </w:p>
        </w:tc>
        <w:tc>
          <w:tcPr>
            <w:tcW w:w="1752" w:type="dxa"/>
            <w:vMerge w:val="continue"/>
            <w:noWrap w:val="0"/>
            <w:vAlign w:val="center"/>
          </w:tcPr>
          <w:p w14:paraId="396F8EA6">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p>
        </w:tc>
        <w:tc>
          <w:tcPr>
            <w:tcW w:w="1200" w:type="dxa"/>
            <w:noWrap w:val="0"/>
            <w:vAlign w:val="center"/>
          </w:tcPr>
          <w:p w14:paraId="1FBAC3FD">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default" w:ascii="Times New Roman" w:hAnsi="Times New Roman" w:eastAsia="宋体" w:cs="Times New Roman"/>
                <w:bCs/>
                <w:color w:val="333333"/>
                <w:sz w:val="24"/>
                <w:szCs w:val="24"/>
                <w:highlight w:val="none"/>
                <w:lang w:val="en-US" w:eastAsia="zh-CN"/>
              </w:rPr>
              <w:t>300000</w:t>
            </w:r>
          </w:p>
        </w:tc>
        <w:tc>
          <w:tcPr>
            <w:tcW w:w="1489" w:type="dxa"/>
            <w:vMerge w:val="continue"/>
            <w:noWrap w:val="0"/>
            <w:vAlign w:val="center"/>
          </w:tcPr>
          <w:p w14:paraId="307AF797">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p>
        </w:tc>
      </w:tr>
      <w:tr w14:paraId="4B1A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444" w:type="dxa"/>
            <w:vMerge w:val="continue"/>
            <w:noWrap w:val="0"/>
            <w:vAlign w:val="center"/>
          </w:tcPr>
          <w:p w14:paraId="7CB1650E">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p>
        </w:tc>
        <w:tc>
          <w:tcPr>
            <w:tcW w:w="582" w:type="dxa"/>
            <w:noWrap w:val="0"/>
            <w:vAlign w:val="center"/>
          </w:tcPr>
          <w:p w14:paraId="239A8765">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eastAsia" w:ascii="Times New Roman" w:hAnsi="Times New Roman" w:eastAsia="宋体" w:cs="Times New Roman"/>
                <w:bCs/>
                <w:color w:val="333333"/>
                <w:sz w:val="24"/>
                <w:szCs w:val="24"/>
                <w:highlight w:val="none"/>
                <w:lang w:val="en-US" w:eastAsia="zh-CN"/>
              </w:rPr>
              <w:t>3</w:t>
            </w:r>
          </w:p>
        </w:tc>
        <w:tc>
          <w:tcPr>
            <w:tcW w:w="2265" w:type="dxa"/>
            <w:noWrap w:val="0"/>
            <w:vAlign w:val="center"/>
          </w:tcPr>
          <w:p w14:paraId="6F874AFF">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default" w:ascii="Times New Roman" w:hAnsi="Times New Roman" w:eastAsia="宋体" w:cs="Times New Roman"/>
                <w:bCs/>
                <w:color w:val="333333"/>
                <w:sz w:val="24"/>
                <w:szCs w:val="24"/>
                <w:highlight w:val="none"/>
                <w:lang w:val="en-US" w:eastAsia="zh-CN"/>
              </w:rPr>
              <w:t>发动社会力量参与城市文明建设服务</w:t>
            </w:r>
          </w:p>
        </w:tc>
        <w:tc>
          <w:tcPr>
            <w:tcW w:w="795" w:type="dxa"/>
            <w:noWrap w:val="0"/>
            <w:vAlign w:val="center"/>
          </w:tcPr>
          <w:p w14:paraId="647EC18C">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default" w:ascii="Times New Roman" w:hAnsi="Times New Roman" w:eastAsia="宋体" w:cs="Times New Roman"/>
                <w:bCs/>
                <w:color w:val="333333"/>
                <w:sz w:val="24"/>
                <w:szCs w:val="24"/>
                <w:highlight w:val="none"/>
              </w:rPr>
              <w:t>1</w:t>
            </w:r>
          </w:p>
        </w:tc>
        <w:tc>
          <w:tcPr>
            <w:tcW w:w="870" w:type="dxa"/>
            <w:noWrap w:val="0"/>
            <w:vAlign w:val="center"/>
          </w:tcPr>
          <w:p w14:paraId="30633489">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default" w:ascii="Times New Roman" w:hAnsi="Times New Roman" w:eastAsia="宋体" w:cs="Times New Roman"/>
                <w:bCs/>
                <w:color w:val="333333"/>
                <w:sz w:val="24"/>
                <w:szCs w:val="24"/>
                <w:highlight w:val="none"/>
              </w:rPr>
              <w:t>项</w:t>
            </w:r>
          </w:p>
        </w:tc>
        <w:tc>
          <w:tcPr>
            <w:tcW w:w="1752" w:type="dxa"/>
            <w:vMerge w:val="continue"/>
            <w:noWrap w:val="0"/>
            <w:vAlign w:val="center"/>
          </w:tcPr>
          <w:p w14:paraId="5DF8E9CC">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p>
        </w:tc>
        <w:tc>
          <w:tcPr>
            <w:tcW w:w="1200" w:type="dxa"/>
            <w:noWrap w:val="0"/>
            <w:vAlign w:val="center"/>
          </w:tcPr>
          <w:p w14:paraId="226ACA62">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kern w:val="2"/>
                <w:sz w:val="24"/>
                <w:szCs w:val="24"/>
                <w:highlight w:val="none"/>
                <w:lang w:val="en-US" w:eastAsia="zh-CN" w:bidi="ar-SA"/>
              </w:rPr>
            </w:pPr>
            <w:r>
              <w:rPr>
                <w:rFonts w:hint="default" w:ascii="Times New Roman" w:hAnsi="Times New Roman" w:eastAsia="宋体" w:cs="Times New Roman"/>
                <w:bCs/>
                <w:color w:val="333333"/>
                <w:sz w:val="24"/>
                <w:szCs w:val="24"/>
                <w:highlight w:val="none"/>
                <w:lang w:val="en-US" w:eastAsia="zh-CN"/>
              </w:rPr>
              <w:t>600000</w:t>
            </w:r>
          </w:p>
        </w:tc>
        <w:tc>
          <w:tcPr>
            <w:tcW w:w="1489" w:type="dxa"/>
            <w:vMerge w:val="continue"/>
            <w:noWrap w:val="0"/>
            <w:vAlign w:val="center"/>
          </w:tcPr>
          <w:p w14:paraId="74FD4F37">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lang w:val="en-US" w:eastAsia="zh-CN"/>
              </w:rPr>
            </w:pPr>
          </w:p>
        </w:tc>
      </w:tr>
      <w:tr w14:paraId="6AF7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397" w:type="dxa"/>
            <w:gridSpan w:val="8"/>
            <w:noWrap w:val="0"/>
            <w:vAlign w:val="center"/>
          </w:tcPr>
          <w:p w14:paraId="2E1C2535">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Cs/>
                <w:color w:val="333333"/>
                <w:sz w:val="24"/>
                <w:szCs w:val="24"/>
                <w:highlight w:val="none"/>
              </w:rPr>
            </w:pPr>
            <w:r>
              <w:rPr>
                <w:rFonts w:hint="default" w:ascii="Times New Roman" w:hAnsi="Times New Roman" w:eastAsia="宋体" w:cs="Times New Roman"/>
                <w:i w:val="0"/>
                <w:iCs w:val="0"/>
                <w:color w:val="000000"/>
                <w:kern w:val="0"/>
                <w:sz w:val="24"/>
                <w:szCs w:val="24"/>
                <w:highlight w:val="none"/>
                <w:u w:val="none"/>
                <w:lang w:val="en-US" w:eastAsia="zh-CN" w:bidi="ar"/>
              </w:rPr>
              <w:t>合计：</w:t>
            </w:r>
            <w:r>
              <w:rPr>
                <w:rFonts w:hint="default" w:ascii="Times New Roman" w:hAnsi="Times New Roman" w:eastAsia="宋体" w:cs="Times New Roman"/>
                <w:bCs/>
                <w:color w:val="333333"/>
                <w:sz w:val="24"/>
                <w:szCs w:val="24"/>
                <w:highlight w:val="none"/>
                <w:lang w:val="en-US" w:eastAsia="zh-CN"/>
              </w:rPr>
              <w:t>1200000</w:t>
            </w:r>
            <w:r>
              <w:rPr>
                <w:rFonts w:hint="default" w:ascii="Times New Roman" w:hAnsi="Times New Roman" w:eastAsia="宋体" w:cs="Times New Roman"/>
                <w:i w:val="0"/>
                <w:iCs w:val="0"/>
                <w:color w:val="000000"/>
                <w:sz w:val="24"/>
                <w:szCs w:val="24"/>
                <w:highlight w:val="none"/>
                <w:u w:val="none"/>
                <w:lang w:val="en-US" w:eastAsia="zh-CN"/>
              </w:rPr>
              <w:t>元</w:t>
            </w:r>
          </w:p>
        </w:tc>
      </w:tr>
    </w:tbl>
    <w:p w14:paraId="440AE33D">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sz w:val="28"/>
          <w:szCs w:val="28"/>
          <w:highlight w:val="none"/>
        </w:rPr>
      </w:pPr>
      <w:r>
        <w:rPr>
          <w:rFonts w:hint="default" w:ascii="Times New Roman" w:hAnsi="Times New Roman" w:eastAsia="宋体" w:cs="Times New Roman"/>
          <w:b w:val="0"/>
          <w:bCs/>
          <w:sz w:val="28"/>
          <w:szCs w:val="28"/>
          <w:highlight w:val="none"/>
        </w:rPr>
        <w:t>注：节能和环保项选否应注明原因</w:t>
      </w:r>
    </w:p>
    <w:p w14:paraId="48318AC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rPr>
      </w:pPr>
      <w:r>
        <w:rPr>
          <w:rFonts w:hint="eastAsia" w:ascii="Times New Roman" w:hAnsi="Times New Roman" w:eastAsia="宋体" w:cs="Times New Roman"/>
          <w:b w:val="0"/>
          <w:bCs/>
          <w:color w:val="000000"/>
          <w:kern w:val="0"/>
          <w:sz w:val="28"/>
          <w:szCs w:val="28"/>
          <w:highlight w:val="none"/>
          <w:lang w:eastAsia="zh-CN"/>
        </w:rPr>
        <w:t>1.</w:t>
      </w:r>
      <w:r>
        <w:rPr>
          <w:rFonts w:hint="default" w:ascii="Times New Roman" w:hAnsi="Times New Roman" w:eastAsia="宋体" w:cs="Times New Roman"/>
          <w:b w:val="0"/>
          <w:bCs/>
          <w:color w:val="000000"/>
          <w:kern w:val="0"/>
          <w:sz w:val="28"/>
          <w:szCs w:val="28"/>
          <w:highlight w:val="none"/>
        </w:rPr>
        <w:t>未采购节能产品原因：</w:t>
      </w:r>
      <w:r>
        <w:rPr>
          <w:rFonts w:hint="default" w:ascii="Times New Roman" w:hAnsi="Times New Roman" w:eastAsia="宋体" w:cs="Times New Roman"/>
          <w:b w:val="0"/>
          <w:bCs/>
          <w:color w:val="000000"/>
          <w:kern w:val="0"/>
          <w:sz w:val="28"/>
          <w:szCs w:val="28"/>
          <w:highlight w:val="none"/>
          <w:u w:val="single"/>
        </w:rPr>
        <w:t>本项目不涉及</w:t>
      </w:r>
      <w:r>
        <w:rPr>
          <w:rFonts w:hint="default" w:ascii="Times New Roman" w:hAnsi="Times New Roman" w:eastAsia="宋体" w:cs="Times New Roman"/>
          <w:b w:val="0"/>
          <w:bCs/>
          <w:color w:val="000000"/>
          <w:kern w:val="0"/>
          <w:sz w:val="28"/>
          <w:szCs w:val="28"/>
          <w:highlight w:val="none"/>
        </w:rPr>
        <w:t>；</w:t>
      </w:r>
    </w:p>
    <w:p w14:paraId="720A0A57">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u w:val="single"/>
        </w:rPr>
      </w:pPr>
      <w:r>
        <w:rPr>
          <w:rFonts w:hint="eastAsia" w:ascii="Times New Roman" w:hAnsi="Times New Roman" w:eastAsia="宋体" w:cs="Times New Roman"/>
          <w:b w:val="0"/>
          <w:bCs/>
          <w:color w:val="000000"/>
          <w:kern w:val="0"/>
          <w:sz w:val="28"/>
          <w:szCs w:val="28"/>
          <w:highlight w:val="none"/>
          <w:lang w:eastAsia="zh-CN"/>
        </w:rPr>
        <w:t>2.</w:t>
      </w:r>
      <w:r>
        <w:rPr>
          <w:rFonts w:hint="default" w:ascii="Times New Roman" w:hAnsi="Times New Roman" w:eastAsia="宋体" w:cs="Times New Roman"/>
          <w:b w:val="0"/>
          <w:bCs/>
          <w:color w:val="000000"/>
          <w:kern w:val="0"/>
          <w:sz w:val="28"/>
          <w:szCs w:val="28"/>
          <w:highlight w:val="none"/>
        </w:rPr>
        <w:t>未采购环保产品原因：</w:t>
      </w:r>
      <w:r>
        <w:rPr>
          <w:rFonts w:hint="default" w:ascii="Times New Roman" w:hAnsi="Times New Roman" w:eastAsia="宋体" w:cs="Times New Roman"/>
          <w:b w:val="0"/>
          <w:bCs/>
          <w:color w:val="000000"/>
          <w:kern w:val="0"/>
          <w:sz w:val="28"/>
          <w:szCs w:val="28"/>
          <w:highlight w:val="none"/>
          <w:u w:val="single"/>
        </w:rPr>
        <w:t>本项目不涉及；</w:t>
      </w:r>
    </w:p>
    <w:p w14:paraId="6F968EF3">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u w:val="single"/>
        </w:rPr>
      </w:pPr>
    </w:p>
    <w:p w14:paraId="23D98DF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黑体" w:cs="Times New Roman"/>
          <w:b w:val="0"/>
          <w:bCs/>
          <w:sz w:val="28"/>
          <w:szCs w:val="28"/>
          <w:highlight w:val="none"/>
          <w:lang w:val="en-US" w:eastAsia="zh-CN"/>
        </w:rPr>
      </w:pPr>
      <w:r>
        <w:rPr>
          <w:rFonts w:hint="eastAsia" w:ascii="Times New Roman" w:hAnsi="Times New Roman" w:eastAsia="宋体" w:cs="Times New Roman"/>
          <w:b/>
          <w:bCs w:val="0"/>
          <w:color w:val="000000"/>
          <w:kern w:val="0"/>
          <w:sz w:val="28"/>
          <w:szCs w:val="28"/>
          <w:highlight w:val="none"/>
          <w:lang w:val="en-US" w:eastAsia="zh-CN"/>
        </w:rPr>
        <w:t>二</w:t>
      </w:r>
      <w:r>
        <w:rPr>
          <w:rFonts w:hint="default" w:ascii="Times New Roman" w:hAnsi="Times New Roman" w:eastAsia="宋体" w:cs="Times New Roman"/>
          <w:b/>
          <w:bCs w:val="0"/>
          <w:color w:val="000000"/>
          <w:kern w:val="0"/>
          <w:sz w:val="28"/>
          <w:szCs w:val="28"/>
          <w:highlight w:val="none"/>
          <w:lang w:val="en-US" w:eastAsia="zh-CN"/>
        </w:rPr>
        <w:t>、技术服务要求</w:t>
      </w:r>
    </w:p>
    <w:p w14:paraId="145ABCA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
          <w:bCs w:val="0"/>
          <w:color w:val="000000"/>
          <w:kern w:val="0"/>
          <w:sz w:val="28"/>
          <w:szCs w:val="28"/>
          <w:highlight w:val="none"/>
          <w:lang w:val="en-US" w:eastAsia="zh-CN"/>
        </w:rPr>
      </w:pPr>
      <w:r>
        <w:rPr>
          <w:rFonts w:hint="default" w:ascii="Times New Roman" w:hAnsi="Times New Roman" w:eastAsia="宋体" w:cs="Times New Roman"/>
          <w:b/>
          <w:bCs/>
          <w:color w:val="auto"/>
          <w:sz w:val="28"/>
          <w:szCs w:val="28"/>
          <w:highlight w:val="none"/>
          <w:lang w:eastAsia="zh-CN"/>
        </w:rPr>
        <w:t>（一）服务内容与要求</w:t>
      </w:r>
    </w:p>
    <w:p w14:paraId="0D53866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
          <w:bCs w:val="0"/>
          <w:color w:val="000000"/>
          <w:kern w:val="0"/>
          <w:sz w:val="28"/>
          <w:szCs w:val="28"/>
          <w:highlight w:val="none"/>
          <w:lang w:val="en-US" w:eastAsia="zh-CN"/>
        </w:rPr>
      </w:pPr>
      <w:r>
        <w:rPr>
          <w:rFonts w:hint="default" w:ascii="Times New Roman" w:hAnsi="Times New Roman" w:eastAsia="宋体" w:cs="Times New Roman"/>
          <w:b/>
          <w:bCs w:val="0"/>
          <w:color w:val="000000"/>
          <w:kern w:val="0"/>
          <w:sz w:val="28"/>
          <w:szCs w:val="28"/>
          <w:highlight w:val="none"/>
          <w:lang w:val="en-US" w:eastAsia="zh-CN"/>
        </w:rPr>
        <w:t>标的名称：全国文明村镇常态长效提升服务</w:t>
      </w:r>
    </w:p>
    <w:p w14:paraId="71A5BC18">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1.为充分发挥全国文明村镇示范引领作用，进一步优化培育路径，一对一服务文明村镇提质升级，引导村镇参与精神文明建设，全面提升全国文明村镇整体质效。</w:t>
      </w:r>
    </w:p>
    <w:p w14:paraId="4DB49449">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（1）推进全国文明村镇提质升级，建立37个村镇“一村一档”动态档案库，整合高校、行业、已创成村镇等资源，结合指标要求，常态化做好线上+线下服务，提升文明村镇创建质量。</w:t>
      </w:r>
    </w:p>
    <w:p w14:paraId="7F9B285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（2）面向70个村镇，挖掘好的经验做法或案例，形成汇编不少于20个案例，装订成册的纸质汇编80份和PDF电子版本。</w:t>
      </w:r>
    </w:p>
    <w:p w14:paraId="7C077EA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（3）策划开展4场文明村镇交流互鉴市级示范活动和8场文明村镇“传帮带”常规活动，引导不少于5家全国文明村镇自主发起“传帮带”活动，传递经验、交流做法。</w:t>
      </w:r>
    </w:p>
    <w:p w14:paraId="077131C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4）在项目执行中，全权负责开展项目宣传。具体要求如下：产出宣传产品（推文或视频）不少于12个，其中单条传播量达到10万以上宣传产品不少于1个，单条传播量达到1万以上宣传产品不少于2个；宣传产品（推文或视频）在中央和省级媒体宣传各不少于2条。</w:t>
      </w:r>
    </w:p>
    <w:p w14:paraId="700B6AE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p>
    <w:p w14:paraId="05782E2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
          <w:bCs w:val="0"/>
          <w:color w:val="000000"/>
          <w:kern w:val="0"/>
          <w:sz w:val="28"/>
          <w:szCs w:val="28"/>
          <w:highlight w:val="none"/>
          <w:lang w:val="en-US" w:eastAsia="zh-CN"/>
        </w:rPr>
      </w:pPr>
      <w:r>
        <w:rPr>
          <w:rFonts w:hint="default" w:ascii="Times New Roman" w:hAnsi="Times New Roman" w:eastAsia="宋体" w:cs="Times New Roman"/>
          <w:b/>
          <w:bCs w:val="0"/>
          <w:color w:val="000000"/>
          <w:kern w:val="0"/>
          <w:sz w:val="28"/>
          <w:szCs w:val="28"/>
          <w:highlight w:val="none"/>
          <w:lang w:val="en-US" w:eastAsia="zh-CN"/>
        </w:rPr>
        <w:t>标的名称：全国文明单位常态长效提升服务</w:t>
      </w:r>
    </w:p>
    <w:p w14:paraId="4985677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 w:val="0"/>
          <w:bCs/>
          <w:color w:val="auto"/>
          <w:kern w:val="0"/>
          <w:sz w:val="28"/>
          <w:szCs w:val="28"/>
          <w:lang w:val="en-US" w:eastAsia="zh-CN" w:bidi="ar-SA"/>
        </w:rPr>
      </w:pPr>
      <w:r>
        <w:rPr>
          <w:rFonts w:hint="default" w:ascii="Times New Roman" w:hAnsi="Times New Roman" w:eastAsia="宋体" w:cs="Times New Roman"/>
          <w:b/>
          <w:bCs/>
          <w:color w:val="auto"/>
          <w:sz w:val="28"/>
          <w:szCs w:val="28"/>
          <w:highlight w:val="none"/>
          <w:lang w:eastAsia="zh-CN"/>
        </w:rPr>
        <w:t>（一）服务内容与要求</w:t>
      </w:r>
    </w:p>
    <w:p w14:paraId="7A749649">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1.为充分发挥全国文明单位示范引领作用，进一步优化培育路径，一对一服务文明单位提质升级，引导单位参与精神文明建设，全面提升全国文明单位整体质效。</w:t>
      </w:r>
    </w:p>
    <w:p w14:paraId="3854487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（1）推进全国文明单位提质升级，建立32个单位“一单位一档”动态档案库，整合高校、行业、已创成单位等资源，结合指标要求，常态化做好线上+线下服务，提升文明单位创建质量。</w:t>
      </w:r>
    </w:p>
    <w:p w14:paraId="0AC0B40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（2）面向106个单位，挖掘好的经验做法或案例，形成汇编不少于30个案例，装订成册的纸质汇编110份和电子版本PDF。</w:t>
      </w:r>
    </w:p>
    <w:p w14:paraId="6DEDAFA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（3）策划开展4场文明单位交流互鉴市级示范活动和8场文明单位“传帮带”常规活动，引导不少于10家全国文明单位自主发起“传帮带”活动，传递经验、交流做法。</w:t>
      </w:r>
    </w:p>
    <w:p w14:paraId="5D6A00D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4）在项目执行中，全权负责开展项目宣传。具体要求如下：产出宣传产品（推文或视频）不少于12个，其中单条传播量达到10万以上宣传产品不少于1个，单条传播量达到1万以上宣传产品不少于2个；宣传产品（推文或视频）在中央和省级媒体宣传各不少于2条。</w:t>
      </w:r>
    </w:p>
    <w:p w14:paraId="426F6062">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仿宋_GB2312" w:cs="Times New Roman"/>
          <w:b/>
          <w:bCs w:val="0"/>
          <w:color w:val="000000"/>
          <w:kern w:val="0"/>
          <w:sz w:val="28"/>
          <w:szCs w:val="28"/>
          <w:highlight w:val="none"/>
          <w:lang w:val="en-US" w:eastAsia="zh-CN"/>
        </w:rPr>
      </w:pPr>
    </w:p>
    <w:p w14:paraId="38884EE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仿宋_GB2312" w:cs="Times New Roman"/>
          <w:b/>
          <w:bCs w:val="0"/>
          <w:color w:val="000000"/>
          <w:kern w:val="0"/>
          <w:sz w:val="28"/>
          <w:szCs w:val="28"/>
          <w:highlight w:val="none"/>
          <w:lang w:val="en-US" w:eastAsia="zh-CN"/>
        </w:rPr>
      </w:pPr>
      <w:r>
        <w:rPr>
          <w:rFonts w:hint="default" w:ascii="Times New Roman" w:hAnsi="Times New Roman" w:eastAsia="宋体" w:cs="Times New Roman"/>
          <w:b/>
          <w:bCs w:val="0"/>
          <w:color w:val="000000"/>
          <w:kern w:val="0"/>
          <w:sz w:val="28"/>
          <w:szCs w:val="28"/>
          <w:highlight w:val="none"/>
          <w:lang w:val="en-US" w:eastAsia="zh-CN"/>
        </w:rPr>
        <w:t>标的名称：发动社会力量参与城市文明建设服务</w:t>
      </w:r>
    </w:p>
    <w:p w14:paraId="511C192A">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1.聚焦“净优亮美”行动、营商环境优化等，依托行业领域专业优势，深化行业共建行动，广泛发动全国文明单位、社会组织、行业协会、企事业单位、市民群众等社会多元主体参与城市文明建设。</w:t>
      </w:r>
    </w:p>
    <w:p w14:paraId="350F9A59">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1）联动全国文明单位、社会组织、行业协会、企事业单位、市民群众等主体，策划开展城市文明建设共建共促活动不少于10次，其中示范发动活动至少有2次，发动多元主体利用行业资源、专业优势参与文明创建。</w:t>
      </w:r>
    </w:p>
    <w:p w14:paraId="42C3801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（2）按照中央文明办工作要求，充分调动和用好文明实践阵地，开展精神文明建设宣传发动，至少覆盖3300个（中心、所、站、基地）等文明实践阵地。</w:t>
      </w:r>
    </w:p>
    <w:p w14:paraId="51817148">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3）在项目执行中，全权负责开展项目宣传。具体要求如下：产出宣传产品（推文或视频）不少于10个，其中单条传播量达到10万以上宣传产品不少于1个，单条传播量达到1万以上宣传产品不少于5个；宣传产品（推文或视频）在中央和省级媒体宣传各不少于5条。</w:t>
      </w:r>
    </w:p>
    <w:p w14:paraId="685C113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p>
    <w:p w14:paraId="0CE7472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cs="Times New Roman"/>
          <w:lang w:val="en-US" w:eastAsia="zh-CN"/>
        </w:rPr>
      </w:pPr>
      <w:r>
        <w:rPr>
          <w:rFonts w:hint="eastAsia" w:ascii="Times New Roman" w:hAnsi="Times New Roman" w:eastAsia="宋体" w:cs="Times New Roman"/>
          <w:b/>
          <w:bCs w:val="0"/>
          <w:color w:val="000000"/>
          <w:kern w:val="0"/>
          <w:sz w:val="28"/>
          <w:szCs w:val="28"/>
          <w:highlight w:val="none"/>
          <w:lang w:val="en-US" w:eastAsia="zh-CN"/>
        </w:rPr>
        <w:t>（二）</w:t>
      </w:r>
      <w:r>
        <w:rPr>
          <w:rFonts w:hint="default" w:ascii="Times New Roman" w:hAnsi="Times New Roman" w:eastAsia="宋体" w:cs="Times New Roman"/>
          <w:b/>
          <w:bCs w:val="0"/>
          <w:color w:val="000000"/>
          <w:kern w:val="0"/>
          <w:sz w:val="28"/>
          <w:szCs w:val="28"/>
          <w:highlight w:val="none"/>
          <w:lang w:val="en-US" w:eastAsia="zh-CN"/>
        </w:rPr>
        <w:t>总体要求</w:t>
      </w:r>
    </w:p>
    <w:p w14:paraId="1CF71DB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1.负责活动的整体策划执行工作。负责活动的策划、组织、协调；场地租赁、相关设备租赁；氛围营造；宣传推广；人员服务以及其它相关活动服务等。包括但不限于活动音控台技术操作、人员执行、嘉宾邀请；场地设计，提供活动场地及灯光、音响等设备；相关物料设计制作；活动音视频素材制作；负责活动期间的全部服务保障工作。</w:t>
      </w:r>
    </w:p>
    <w:p w14:paraId="25158BE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2.供应商应组建专门的服务团队负责本项目全程实施、管理、对接与落地工作。</w:t>
      </w:r>
    </w:p>
    <w:p w14:paraId="44E1959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3.供应商须为本项目每场活动配套足额安全责任保险，并且对合同履约期间所发生的一切安全事故承担责任（如因供应商工作人员在履行职务过程中的疏忽、失职、过错等故意或者过失原因造成财产损失、人身事故，由此而导致的采购人对任何第三方的法律责任等，供应商对此均应承担全部的赔偿责任。）</w:t>
      </w:r>
    </w:p>
    <w:p w14:paraId="578CDFB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4.供应商成交后应继续深化优化方案直到符合采购人要求，待采购人确认执行方案后再执行。</w:t>
      </w:r>
    </w:p>
    <w:p w14:paraId="52FBD57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5.本项目知识产权归属采购人，项目服务过程中所涉及的所有信息资料和成果资料的所有权均归采购人所有（包括采购人提供以及供应商自行收集的）；供应商对服务过程中涉及的所有信息资料负有保密义务，未经采购人同意供应商不得将信息资料透露给第三方，否则采购人有权追究其法律责任；供应商应保证在本项目中所提供的任何一部分相关技术资料和成果资料，均不会产生因第三方提出侵犯其著作权、专利权、商标权或其它知识产权而引起的法律和经济纠纷。如因著作权、专利权、商标权而引起法律和经济纠纷，由供应商承担所有相关责任。</w:t>
      </w:r>
    </w:p>
    <w:p w14:paraId="3644959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 w:val="0"/>
          <w:bCs/>
          <w:color w:val="000000"/>
          <w:kern w:val="0"/>
          <w:sz w:val="28"/>
          <w:szCs w:val="28"/>
          <w:highlight w:val="none"/>
          <w:lang w:val="en-US" w:eastAsia="zh-CN"/>
        </w:rPr>
      </w:pPr>
      <w:r>
        <w:rPr>
          <w:rFonts w:hint="default" w:ascii="Times New Roman" w:hAnsi="Times New Roman" w:eastAsia="宋体" w:cs="Times New Roman"/>
          <w:b w:val="0"/>
          <w:bCs/>
          <w:color w:val="000000"/>
          <w:kern w:val="0"/>
          <w:sz w:val="28"/>
          <w:szCs w:val="28"/>
          <w:highlight w:val="none"/>
          <w:lang w:val="en-US" w:eastAsia="zh-CN"/>
        </w:rPr>
        <w:t>6.供应商需在项目执行结束后，及时向采购人提交结项报告，并将活动开展相关的所有资料（包括文字、高清影像、高清图片等资料）进行有条理的归纳和整理，影像资料需按采购人要求进行剪辑制作，资料需统一移交给采购人。</w:t>
      </w:r>
    </w:p>
    <w:p w14:paraId="3F2EA5C6">
      <w:pPr>
        <w:keepNext w:val="0"/>
        <w:keepLines w:val="0"/>
        <w:pageBreakBefore w:val="0"/>
        <w:kinsoku/>
        <w:overflowPunct/>
        <w:topLinePunct w:val="0"/>
        <w:autoSpaceDE/>
        <w:autoSpaceDN/>
        <w:bidi w:val="0"/>
        <w:adjustRightInd/>
        <w:snapToGrid/>
        <w:spacing w:line="480" w:lineRule="exact"/>
        <w:ind w:firstLine="562" w:firstLineChars="200"/>
        <w:textAlignment w:val="auto"/>
        <w:rPr>
          <w:rFonts w:hint="eastAsia" w:ascii="Times New Roman" w:hAnsi="Times New Roman" w:eastAsia="宋体" w:cs="Times New Roman"/>
          <w:b/>
          <w:bCs w:val="0"/>
          <w:sz w:val="28"/>
          <w:szCs w:val="28"/>
          <w:highlight w:val="none"/>
          <w:lang w:val="en-US" w:eastAsia="zh-CN"/>
        </w:rPr>
      </w:pPr>
    </w:p>
    <w:p w14:paraId="5B667AC9">
      <w:pPr>
        <w:keepNext w:val="0"/>
        <w:keepLines w:val="0"/>
        <w:pageBreakBefore w:val="0"/>
        <w:kinsoku/>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
          <w:sz w:val="28"/>
          <w:szCs w:val="28"/>
          <w:highlight w:val="none"/>
        </w:rPr>
      </w:pPr>
      <w:r>
        <w:rPr>
          <w:rFonts w:hint="eastAsia" w:ascii="Times New Roman" w:hAnsi="Times New Roman" w:eastAsia="宋体" w:cs="Times New Roman"/>
          <w:b/>
          <w:bCs w:val="0"/>
          <w:sz w:val="28"/>
          <w:szCs w:val="28"/>
          <w:highlight w:val="none"/>
          <w:lang w:val="en-US" w:eastAsia="zh-CN"/>
        </w:rPr>
        <w:t>三</w:t>
      </w:r>
      <w:r>
        <w:rPr>
          <w:rFonts w:hint="default" w:ascii="Times New Roman" w:hAnsi="Times New Roman" w:eastAsia="宋体" w:cs="Times New Roman"/>
          <w:b/>
          <w:bCs w:val="0"/>
          <w:sz w:val="28"/>
          <w:szCs w:val="28"/>
          <w:highlight w:val="none"/>
          <w:lang w:val="en-US" w:eastAsia="zh-CN"/>
        </w:rPr>
        <w:t>、商务要求</w:t>
      </w:r>
    </w:p>
    <w:p w14:paraId="50DE0827">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
          <w:bCs w:val="0"/>
          <w:sz w:val="28"/>
          <w:szCs w:val="28"/>
          <w:highlight w:val="none"/>
          <w:lang w:val="en-US" w:eastAsia="zh-CN"/>
        </w:rPr>
        <w:t>（一）服务期限：</w:t>
      </w:r>
      <w:r>
        <w:rPr>
          <w:rFonts w:hint="default" w:ascii="Times New Roman" w:hAnsi="Times New Roman" w:eastAsia="宋体" w:cs="Times New Roman"/>
          <w:bCs/>
          <w:sz w:val="28"/>
          <w:szCs w:val="28"/>
          <w:highlight w:val="none"/>
          <w:lang w:val="en-US" w:eastAsia="zh-CN"/>
        </w:rPr>
        <w:t>合同签订生效之日起2026年11月30日前。</w:t>
      </w:r>
    </w:p>
    <w:p w14:paraId="083CD956">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
          <w:bCs w:val="0"/>
          <w:sz w:val="28"/>
          <w:szCs w:val="28"/>
          <w:highlight w:val="none"/>
          <w:lang w:val="en-US" w:eastAsia="zh-CN"/>
        </w:rPr>
        <w:t>（二）付款方式：</w:t>
      </w:r>
      <w:r>
        <w:rPr>
          <w:rFonts w:hint="default" w:ascii="Times New Roman" w:hAnsi="Times New Roman" w:eastAsia="宋体" w:cs="Times New Roman"/>
          <w:bCs/>
          <w:sz w:val="28"/>
          <w:szCs w:val="28"/>
          <w:highlight w:val="none"/>
          <w:lang w:val="en-US" w:eastAsia="zh-CN"/>
        </w:rPr>
        <w:t>合同签订后10个工作日内，采购人支付成交供应商合同金额的70%；完成合同约定全部内容经</w:t>
      </w:r>
      <w:r>
        <w:rPr>
          <w:rFonts w:hint="default" w:ascii="Times New Roman" w:hAnsi="Times New Roman" w:eastAsia="宋体" w:cs="Times New Roman"/>
          <w:bCs/>
          <w:color w:val="auto"/>
          <w:sz w:val="28"/>
          <w:szCs w:val="28"/>
          <w:highlight w:val="none"/>
          <w:lang w:val="en-US" w:eastAsia="zh-CN"/>
        </w:rPr>
        <w:t>采购人</w:t>
      </w:r>
      <w:r>
        <w:rPr>
          <w:rFonts w:hint="default" w:ascii="Times New Roman" w:hAnsi="Times New Roman" w:eastAsia="宋体" w:cs="Times New Roman"/>
          <w:bCs/>
          <w:sz w:val="28"/>
          <w:szCs w:val="28"/>
          <w:highlight w:val="none"/>
          <w:lang w:val="en-US" w:eastAsia="zh-CN"/>
        </w:rPr>
        <w:t>验收合格后10个工作日内，采购人支付成交供应商合同金额的30%。（每次付款前供应商需提交等额票据）</w:t>
      </w:r>
    </w:p>
    <w:p w14:paraId="1FADB9F4">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
          <w:bCs w:val="0"/>
          <w:sz w:val="28"/>
          <w:szCs w:val="28"/>
          <w:highlight w:val="none"/>
          <w:lang w:val="en-US" w:eastAsia="zh-CN"/>
        </w:rPr>
        <w:t>（三）服务地点：</w:t>
      </w:r>
      <w:r>
        <w:rPr>
          <w:rFonts w:hint="default" w:ascii="Times New Roman" w:hAnsi="Times New Roman" w:eastAsia="宋体" w:cs="Times New Roman"/>
          <w:bCs/>
          <w:sz w:val="28"/>
          <w:szCs w:val="28"/>
          <w:highlight w:val="none"/>
          <w:lang w:val="en-US" w:eastAsia="zh-CN"/>
        </w:rPr>
        <w:t>成都市。</w:t>
      </w:r>
    </w:p>
    <w:p w14:paraId="15A7A396">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
          <w:bCs w:val="0"/>
          <w:sz w:val="28"/>
          <w:szCs w:val="28"/>
          <w:highlight w:val="none"/>
          <w:lang w:val="en-US" w:eastAsia="zh-CN"/>
        </w:rPr>
        <w:t>（四）违约责任及解决争议的方法：</w:t>
      </w:r>
      <w:r>
        <w:rPr>
          <w:rFonts w:hint="default" w:ascii="Times New Roman" w:hAnsi="Times New Roman" w:eastAsia="宋体" w:cs="Times New Roman"/>
          <w:b w:val="0"/>
          <w:bCs/>
          <w:sz w:val="28"/>
          <w:szCs w:val="28"/>
          <w:highlight w:val="none"/>
          <w:lang w:val="en-US" w:eastAsia="zh-CN"/>
        </w:rPr>
        <w:t>按照采购合同约定执行</w:t>
      </w:r>
      <w:r>
        <w:rPr>
          <w:rFonts w:hint="default" w:ascii="Times New Roman" w:hAnsi="Times New Roman" w:eastAsia="宋体" w:cs="Times New Roman"/>
          <w:bCs/>
          <w:sz w:val="28"/>
          <w:szCs w:val="28"/>
          <w:highlight w:val="none"/>
          <w:lang w:val="en-US" w:eastAsia="zh-CN"/>
        </w:rPr>
        <w:t>。</w:t>
      </w:r>
    </w:p>
    <w:p w14:paraId="4D3DDB34">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
          <w:bCs w:val="0"/>
          <w:sz w:val="28"/>
          <w:szCs w:val="28"/>
          <w:highlight w:val="none"/>
          <w:lang w:val="en-US" w:eastAsia="zh-CN"/>
        </w:rPr>
        <w:t>（五）验收标准和方法</w:t>
      </w:r>
    </w:p>
    <w:p w14:paraId="075E705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1</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验收组织方式：</w:t>
      </w:r>
      <w:r>
        <w:rPr>
          <w:rFonts w:hint="default" w:ascii="Times New Roman" w:hAnsi="Times New Roman" w:eastAsia="宋体" w:cs="Times New Roman"/>
          <w:bCs/>
          <w:sz w:val="28"/>
          <w:szCs w:val="28"/>
          <w:highlight w:val="none"/>
          <w:lang w:val="en-US" w:eastAsia="zh-CN"/>
        </w:rPr>
        <w:sym w:font="Wingdings 2" w:char="00A3"/>
      </w:r>
      <w:r>
        <w:rPr>
          <w:rFonts w:hint="default" w:ascii="Times New Roman" w:hAnsi="Times New Roman" w:eastAsia="宋体" w:cs="Times New Roman"/>
          <w:bCs/>
          <w:sz w:val="28"/>
          <w:szCs w:val="28"/>
          <w:highlight w:val="none"/>
          <w:lang w:val="en-US" w:eastAsia="zh-CN"/>
        </w:rPr>
        <w:t xml:space="preserve">自行验收 </w:t>
      </w:r>
      <w:r>
        <w:rPr>
          <w:rFonts w:hint="default" w:ascii="Times New Roman" w:hAnsi="Times New Roman" w:eastAsia="宋体" w:cs="Times New Roman"/>
          <w:bCs/>
          <w:sz w:val="28"/>
          <w:szCs w:val="28"/>
          <w:highlight w:val="none"/>
          <w:lang w:val="en-US" w:eastAsia="zh-CN"/>
        </w:rPr>
        <w:sym w:font="Wingdings 2" w:char="0052"/>
      </w:r>
      <w:r>
        <w:rPr>
          <w:rFonts w:hint="default" w:ascii="Times New Roman" w:hAnsi="Times New Roman" w:eastAsia="宋体" w:cs="Times New Roman"/>
          <w:sz w:val="28"/>
          <w:szCs w:val="22"/>
          <w:highlight w:val="none"/>
        </w:rPr>
        <w:t>委托代理机构验收</w:t>
      </w:r>
    </w:p>
    <w:p w14:paraId="0E01D3B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2</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履约验收程序：</w:t>
      </w:r>
      <w:r>
        <w:rPr>
          <w:rFonts w:hint="default" w:ascii="Times New Roman" w:hAnsi="Times New Roman" w:eastAsia="宋体" w:cs="Times New Roman"/>
          <w:bCs/>
          <w:sz w:val="28"/>
          <w:szCs w:val="28"/>
          <w:highlight w:val="none"/>
          <w:lang w:val="en-US" w:eastAsia="zh-CN"/>
        </w:rPr>
        <w:sym w:font="Wingdings 2" w:char="0052"/>
      </w:r>
      <w:r>
        <w:rPr>
          <w:rFonts w:hint="default" w:ascii="Times New Roman" w:hAnsi="Times New Roman" w:eastAsia="宋体" w:cs="Times New Roman"/>
          <w:bCs/>
          <w:sz w:val="28"/>
          <w:szCs w:val="28"/>
          <w:highlight w:val="none"/>
          <w:lang w:val="en-US" w:eastAsia="zh-CN"/>
        </w:rPr>
        <w:t xml:space="preserve">一次性验收  </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分段验收</w:t>
      </w:r>
    </w:p>
    <w:p w14:paraId="5068D84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3</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是否邀请本项目的其他供应商：</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 xml:space="preserve">是 </w:t>
      </w:r>
      <w:r>
        <w:rPr>
          <w:rFonts w:hint="default" w:ascii="Times New Roman" w:hAnsi="Times New Roman" w:eastAsia="宋体" w:cs="Times New Roman"/>
          <w:bCs/>
          <w:sz w:val="28"/>
          <w:szCs w:val="28"/>
          <w:highlight w:val="none"/>
          <w:lang w:val="en-US" w:eastAsia="zh-CN"/>
        </w:rPr>
        <w:sym w:font="Wingdings 2" w:char="0052"/>
      </w:r>
      <w:r>
        <w:rPr>
          <w:rFonts w:hint="default" w:ascii="Times New Roman" w:hAnsi="Times New Roman" w:eastAsia="宋体" w:cs="Times New Roman"/>
          <w:bCs/>
          <w:sz w:val="28"/>
          <w:szCs w:val="28"/>
          <w:highlight w:val="none"/>
          <w:lang w:val="en-US" w:eastAsia="zh-CN"/>
        </w:rPr>
        <w:t xml:space="preserve">否 </w:t>
      </w:r>
    </w:p>
    <w:p w14:paraId="40E0F3F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4</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是否邀请专家：</w:t>
      </w:r>
      <w:r>
        <w:rPr>
          <w:rFonts w:hint="default" w:ascii="Times New Roman" w:hAnsi="Times New Roman" w:eastAsia="宋体" w:cs="Times New Roman"/>
          <w:bCs/>
          <w:sz w:val="28"/>
          <w:szCs w:val="28"/>
          <w:highlight w:val="none"/>
          <w:lang w:val="en-US" w:eastAsia="zh-CN"/>
        </w:rPr>
        <w:sym w:font="Wingdings 2" w:char="0052"/>
      </w:r>
      <w:r>
        <w:rPr>
          <w:rFonts w:hint="default" w:ascii="Times New Roman" w:hAnsi="Times New Roman" w:eastAsia="宋体" w:cs="Times New Roman"/>
          <w:bCs/>
          <w:sz w:val="28"/>
          <w:szCs w:val="28"/>
          <w:highlight w:val="none"/>
          <w:lang w:val="en-US" w:eastAsia="zh-CN"/>
        </w:rPr>
        <w:t xml:space="preserve">是  </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否</w:t>
      </w:r>
    </w:p>
    <w:p w14:paraId="58B0D8A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5</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 xml:space="preserve">是否邀请服务对象：☑是 </w:t>
      </w:r>
      <w:r>
        <w:rPr>
          <w:rFonts w:hint="default" w:ascii="Times New Roman" w:hAnsi="Times New Roman" w:eastAsia="宋体" w:cs="Times New Roman"/>
          <w:bCs/>
          <w:sz w:val="28"/>
          <w:szCs w:val="28"/>
          <w:highlight w:val="none"/>
          <w:lang w:val="en-US" w:eastAsia="zh-CN"/>
        </w:rPr>
        <w:sym w:font="Wingdings 2" w:char="00A3"/>
      </w:r>
      <w:r>
        <w:rPr>
          <w:rFonts w:hint="default" w:ascii="Times New Roman" w:hAnsi="Times New Roman" w:eastAsia="宋体" w:cs="Times New Roman"/>
          <w:bCs/>
          <w:sz w:val="28"/>
          <w:szCs w:val="28"/>
          <w:highlight w:val="none"/>
          <w:lang w:val="en-US" w:eastAsia="zh-CN"/>
        </w:rPr>
        <w:t>否</w:t>
      </w:r>
    </w:p>
    <w:p w14:paraId="11D6D16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6</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是否邀请第三方检测机构：</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 xml:space="preserve">是 </w:t>
      </w:r>
      <w:r>
        <w:rPr>
          <w:rFonts w:hint="default" w:ascii="Times New Roman" w:hAnsi="Times New Roman" w:eastAsia="宋体" w:cs="Times New Roman"/>
          <w:bCs/>
          <w:sz w:val="28"/>
          <w:szCs w:val="28"/>
          <w:highlight w:val="none"/>
          <w:lang w:val="en-US" w:eastAsia="zh-CN"/>
        </w:rPr>
        <w:sym w:font="Wingdings 2" w:char="0052"/>
      </w:r>
      <w:r>
        <w:rPr>
          <w:rFonts w:hint="default" w:ascii="Times New Roman" w:hAnsi="Times New Roman" w:eastAsia="宋体" w:cs="Times New Roman"/>
          <w:bCs/>
          <w:sz w:val="28"/>
          <w:szCs w:val="28"/>
          <w:highlight w:val="none"/>
          <w:lang w:val="en-US" w:eastAsia="zh-CN"/>
        </w:rPr>
        <w:t>否</w:t>
      </w:r>
    </w:p>
    <w:p w14:paraId="0407CC6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7</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履约验收时间：所有服务内容完成后，自供应商提出验收之日起10日内，验收合同金额的100%。</w:t>
      </w:r>
    </w:p>
    <w:p w14:paraId="113CA7C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8</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验收组织的其他事项：</w:t>
      </w:r>
      <w:r>
        <w:rPr>
          <w:rFonts w:hint="default" w:ascii="Times New Roman" w:hAnsi="Times New Roman" w:eastAsia="宋体" w:cs="Times New Roman"/>
          <w:sz w:val="28"/>
          <w:szCs w:val="28"/>
          <w:highlight w:val="none"/>
        </w:rPr>
        <w:t>本项目采购人将按照政府采购相关法律法规以及《财政部关于进一步加强政府采购需求和履约验收管理的指导意见》（财库〔2016〕205号）的要求组织验收</w:t>
      </w:r>
      <w:r>
        <w:rPr>
          <w:rFonts w:hint="default" w:ascii="Times New Roman" w:hAnsi="Times New Roman" w:eastAsia="宋体" w:cs="Times New Roman"/>
          <w:bCs/>
          <w:sz w:val="28"/>
          <w:szCs w:val="28"/>
          <w:highlight w:val="none"/>
          <w:lang w:val="en-US" w:eastAsia="zh-CN"/>
        </w:rPr>
        <w:t>。</w:t>
      </w:r>
    </w:p>
    <w:p w14:paraId="4B7C096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color w:val="auto"/>
          <w:sz w:val="28"/>
          <w:szCs w:val="28"/>
          <w:highlight w:val="none"/>
          <w:lang w:val="en-US" w:eastAsia="zh-CN"/>
        </w:rPr>
      </w:pPr>
      <w:r>
        <w:rPr>
          <w:rFonts w:hint="default" w:ascii="Times New Roman" w:hAnsi="Times New Roman" w:eastAsia="宋体" w:cs="Times New Roman"/>
          <w:bCs/>
          <w:color w:val="auto"/>
          <w:sz w:val="28"/>
          <w:szCs w:val="28"/>
          <w:highlight w:val="none"/>
          <w:lang w:val="en-US" w:eastAsia="zh-CN"/>
        </w:rPr>
        <w:t>9</w:t>
      </w:r>
      <w:r>
        <w:rPr>
          <w:rFonts w:hint="eastAsia" w:ascii="Times New Roman" w:hAnsi="Times New Roman" w:eastAsia="宋体" w:cs="Times New Roman"/>
          <w:bCs/>
          <w:color w:val="auto"/>
          <w:sz w:val="28"/>
          <w:szCs w:val="28"/>
          <w:highlight w:val="none"/>
          <w:lang w:val="en-US" w:eastAsia="zh-CN"/>
        </w:rPr>
        <w:t>.</w:t>
      </w:r>
      <w:r>
        <w:rPr>
          <w:rFonts w:hint="default" w:ascii="Times New Roman" w:hAnsi="Times New Roman" w:eastAsia="宋体" w:cs="Times New Roman"/>
          <w:bCs/>
          <w:color w:val="auto"/>
          <w:sz w:val="28"/>
          <w:szCs w:val="28"/>
          <w:highlight w:val="none"/>
          <w:lang w:val="en-US" w:eastAsia="zh-CN"/>
        </w:rPr>
        <w:t>技术履约验收内容：按国家有关规定以及采购文件的质量要求和技术指标、供应商的响应文件及承诺、合同约定标准进行验收。</w:t>
      </w:r>
    </w:p>
    <w:p w14:paraId="7BE9A68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color w:val="auto"/>
          <w:sz w:val="28"/>
          <w:szCs w:val="28"/>
          <w:highlight w:val="none"/>
          <w:lang w:val="en-US" w:eastAsia="zh-CN"/>
        </w:rPr>
      </w:pPr>
      <w:r>
        <w:rPr>
          <w:rFonts w:hint="default" w:ascii="Times New Roman" w:hAnsi="Times New Roman" w:eastAsia="宋体" w:cs="Times New Roman"/>
          <w:bCs/>
          <w:color w:val="auto"/>
          <w:sz w:val="28"/>
          <w:szCs w:val="28"/>
          <w:highlight w:val="none"/>
          <w:lang w:val="en-US" w:eastAsia="zh-CN"/>
        </w:rPr>
        <w:t>10</w:t>
      </w:r>
      <w:r>
        <w:rPr>
          <w:rFonts w:hint="eastAsia" w:ascii="Times New Roman" w:hAnsi="Times New Roman" w:eastAsia="宋体" w:cs="Times New Roman"/>
          <w:bCs/>
          <w:color w:val="auto"/>
          <w:sz w:val="28"/>
          <w:szCs w:val="28"/>
          <w:highlight w:val="none"/>
          <w:lang w:val="en-US" w:eastAsia="zh-CN"/>
        </w:rPr>
        <w:t>.</w:t>
      </w:r>
      <w:r>
        <w:rPr>
          <w:rFonts w:hint="default" w:ascii="Times New Roman" w:hAnsi="Times New Roman" w:eastAsia="宋体" w:cs="Times New Roman"/>
          <w:bCs/>
          <w:color w:val="auto"/>
          <w:sz w:val="28"/>
          <w:szCs w:val="28"/>
          <w:highlight w:val="none"/>
          <w:lang w:val="en-US" w:eastAsia="zh-CN"/>
        </w:rPr>
        <w:t>商务履约验收内容：按国家有关规定以及采购文件的质量要求和技术指标、供应商的响应文件及承诺、合同约定标准进行验收。</w:t>
      </w:r>
    </w:p>
    <w:p w14:paraId="22042F8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11</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履约验收标准：双方如对质量要求和技术指标的约定标准有相互抵触或异议的事项，按采购与响应文件中质量要求和技术指标比较优胜的原则确定该项的约定标准进行验收。</w:t>
      </w:r>
    </w:p>
    <w:p w14:paraId="0ECFF4E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sz w:val="24"/>
          <w:szCs w:val="24"/>
          <w:lang w:val="en-US" w:eastAsia="zh-CN"/>
        </w:rPr>
      </w:pPr>
      <w:r>
        <w:rPr>
          <w:rFonts w:hint="default" w:ascii="Times New Roman" w:hAnsi="Times New Roman" w:eastAsia="宋体" w:cs="Times New Roman"/>
          <w:bCs/>
          <w:sz w:val="28"/>
          <w:szCs w:val="28"/>
          <w:highlight w:val="none"/>
          <w:lang w:val="en-US" w:eastAsia="zh-CN"/>
        </w:rPr>
        <w:t>12</w:t>
      </w:r>
      <w:r>
        <w:rPr>
          <w:rFonts w:hint="eastAsia" w:ascii="Times New Roman" w:hAnsi="Times New Roman" w:eastAsia="宋体" w:cs="Times New Roman"/>
          <w:bCs/>
          <w:sz w:val="28"/>
          <w:szCs w:val="28"/>
          <w:highlight w:val="none"/>
          <w:lang w:val="en-US" w:eastAsia="zh-CN"/>
        </w:rPr>
        <w:t>.</w:t>
      </w:r>
      <w:r>
        <w:rPr>
          <w:rFonts w:hint="default" w:ascii="Times New Roman" w:hAnsi="Times New Roman" w:eastAsia="宋体" w:cs="Times New Roman"/>
          <w:bCs/>
          <w:sz w:val="28"/>
          <w:szCs w:val="28"/>
          <w:highlight w:val="none"/>
          <w:lang w:val="en-US" w:eastAsia="zh-CN"/>
        </w:rPr>
        <w:t>履约验收其他事项：未尽事宜应按照财政部关于进一步加强政府采购需求和履约验收管理的指导意见（财库〔2016〕205号）的要求。</w:t>
      </w:r>
    </w:p>
    <w:p w14:paraId="500B2F9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color w:val="000000"/>
          <w:sz w:val="24"/>
          <w:szCs w:val="24"/>
          <w:lang w:val="en-US" w:eastAsia="zh-CN"/>
        </w:rPr>
      </w:pPr>
    </w:p>
    <w:p w14:paraId="1639DDE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Wingdings 2">
    <w:altName w:val="Wingdings"/>
    <w:panose1 w:val="00000000000000000000"/>
    <w:charset w:val="00"/>
    <w:family w:val="auto"/>
    <w:pitch w:val="default"/>
    <w:sig w:usb0="00000000" w:usb1="00000000" w:usb2="00000000" w:usb3="00000000" w:csb0="00040001"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041F25"/>
    <w:rsid w:val="21041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2026-08-31T06:08:00Z</dcterms:created>
  <dc:creator>重德招标</dc:creator>
  <cp:lastModifiedBy>重德招标</cp:lastModifiedBy>
  <dcterms:modified xsi:type="dcterms:W3CDTF">2026-08-31T06:09:24Z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099F1C8F57A74ACB8CF2F6F96A84915E_11</vt:lpwstr>
  </property>
  <property fmtid="{D5CDD505-2E9C-101B-9397-08002B2CF9AE}" pid="4" name="KSOTemplateDocerSaveRecord">
    <vt:lpwstr>eyJoZGlkIjoiZTEzNjVlOGM2OTljYjk2NWFkOGRiZmU4MjIxZmFjNDMiLCJ1c2VySWQiOiI2OTEwMzEwNDAifQ==</vt:lpwstr>
  </property>
</Properties>
</file>