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adjustRightInd/>
        <w:snapToGrid/>
        <w:spacing w:line="480" w:lineRule="exact"/>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附件：采购需求</w:t>
      </w:r>
    </w:p>
    <w:p>
      <w:pPr>
        <w:keepNext w:val="0"/>
        <w:keepLines w:val="0"/>
        <w:pageBreakBefore w:val="0"/>
        <w:kinsoku/>
        <w:overflowPunct/>
        <w:topLinePunct w:val="0"/>
        <w:autoSpaceDE/>
        <w:autoSpaceDN/>
        <w:bidi w:val="0"/>
        <w:adjustRightInd/>
        <w:snapToGrid/>
        <w:spacing w:line="480" w:lineRule="exact"/>
        <w:textAlignment w:val="auto"/>
        <w:rPr>
          <w:rFonts w:hint="default" w:ascii="Times New Roman" w:hAnsi="Times New Roman" w:eastAsia="宋体" w:cs="Times New Roman"/>
          <w:b w:val="0"/>
          <w:bCs/>
          <w:sz w:val="28"/>
          <w:szCs w:val="28"/>
          <w:highlight w:val="none"/>
        </w:rPr>
      </w:pPr>
      <w:r>
        <w:rPr>
          <w:rFonts w:hint="default" w:ascii="Times New Roman" w:hAnsi="Times New Roman" w:eastAsia="宋体" w:cs="Times New Roman"/>
          <w:b/>
          <w:bCs/>
          <w:sz w:val="28"/>
          <w:szCs w:val="28"/>
          <w:lang w:val="en-US" w:eastAsia="zh-CN"/>
        </w:rPr>
        <w:t>一、采购标的汇总表</w:t>
      </w:r>
    </w:p>
    <w:tbl>
      <w:tblPr>
        <w:tblStyle w:val="4"/>
        <w:tblW w:w="8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2660"/>
        <w:gridCol w:w="572"/>
        <w:gridCol w:w="778"/>
        <w:gridCol w:w="1418"/>
        <w:gridCol w:w="1568"/>
        <w:gridCol w:w="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721" w:type="dxa"/>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lang w:eastAsia="zh-CN"/>
              </w:rPr>
            </w:pPr>
            <w:r>
              <w:rPr>
                <w:rFonts w:hint="default" w:ascii="Times New Roman" w:hAnsi="Times New Roman" w:eastAsia="宋体" w:cs="Times New Roman"/>
                <w:bCs/>
                <w:color w:val="333333"/>
                <w:sz w:val="24"/>
                <w:szCs w:val="24"/>
                <w:highlight w:val="none"/>
                <w:lang w:val="en-US" w:eastAsia="zh-CN"/>
              </w:rPr>
              <w:t>包号</w:t>
            </w:r>
          </w:p>
        </w:tc>
        <w:tc>
          <w:tcPr>
            <w:tcW w:w="2660" w:type="dxa"/>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rPr>
            </w:pPr>
            <w:r>
              <w:rPr>
                <w:rFonts w:hint="default" w:ascii="Times New Roman" w:hAnsi="Times New Roman" w:eastAsia="宋体" w:cs="Times New Roman"/>
                <w:bCs/>
                <w:color w:val="333333"/>
                <w:sz w:val="24"/>
                <w:szCs w:val="24"/>
                <w:highlight w:val="none"/>
              </w:rPr>
              <w:t>标的名称</w:t>
            </w:r>
          </w:p>
        </w:tc>
        <w:tc>
          <w:tcPr>
            <w:tcW w:w="572" w:type="dxa"/>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rPr>
            </w:pPr>
            <w:r>
              <w:rPr>
                <w:rFonts w:hint="default" w:ascii="Times New Roman" w:hAnsi="Times New Roman" w:eastAsia="宋体" w:cs="Times New Roman"/>
                <w:bCs/>
                <w:color w:val="333333"/>
                <w:sz w:val="24"/>
                <w:szCs w:val="24"/>
                <w:highlight w:val="none"/>
              </w:rPr>
              <w:t>数量</w:t>
            </w:r>
          </w:p>
        </w:tc>
        <w:tc>
          <w:tcPr>
            <w:tcW w:w="778" w:type="dxa"/>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rPr>
            </w:pPr>
            <w:r>
              <w:rPr>
                <w:rFonts w:hint="default" w:ascii="Times New Roman" w:hAnsi="Times New Roman" w:eastAsia="宋体" w:cs="Times New Roman"/>
                <w:bCs/>
                <w:color w:val="333333"/>
                <w:sz w:val="24"/>
                <w:szCs w:val="24"/>
                <w:highlight w:val="none"/>
              </w:rPr>
              <w:t>计量单位</w:t>
            </w:r>
          </w:p>
        </w:tc>
        <w:tc>
          <w:tcPr>
            <w:tcW w:w="1418" w:type="dxa"/>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rPr>
            </w:pPr>
            <w:r>
              <w:rPr>
                <w:rFonts w:hint="default" w:ascii="Times New Roman" w:hAnsi="Times New Roman" w:eastAsia="宋体" w:cs="Times New Roman"/>
                <w:bCs/>
                <w:color w:val="333333"/>
                <w:sz w:val="24"/>
                <w:szCs w:val="24"/>
                <w:highlight w:val="none"/>
                <w:lang w:val="en-US" w:eastAsia="zh-CN"/>
              </w:rPr>
              <w:t>采购品目及编码</w:t>
            </w:r>
          </w:p>
        </w:tc>
        <w:tc>
          <w:tcPr>
            <w:tcW w:w="1568" w:type="dxa"/>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rPr>
            </w:pPr>
            <w:r>
              <w:rPr>
                <w:rFonts w:hint="default" w:ascii="Times New Roman" w:hAnsi="Times New Roman" w:eastAsia="宋体" w:cs="Times New Roman"/>
                <w:bCs/>
                <w:color w:val="333333"/>
                <w:sz w:val="24"/>
                <w:szCs w:val="24"/>
                <w:highlight w:val="none"/>
              </w:rPr>
              <w:t>品目</w:t>
            </w:r>
          </w:p>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rPr>
            </w:pPr>
            <w:r>
              <w:rPr>
                <w:rFonts w:hint="default" w:ascii="Times New Roman" w:hAnsi="Times New Roman" w:eastAsia="宋体" w:cs="Times New Roman"/>
                <w:bCs/>
                <w:color w:val="333333"/>
                <w:sz w:val="24"/>
                <w:szCs w:val="24"/>
                <w:highlight w:val="none"/>
              </w:rPr>
              <w:t>预算（元）</w:t>
            </w:r>
          </w:p>
        </w:tc>
        <w:tc>
          <w:tcPr>
            <w:tcW w:w="890" w:type="dxa"/>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721" w:type="dxa"/>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kern w:val="2"/>
                <w:sz w:val="24"/>
                <w:szCs w:val="24"/>
                <w:highlight w:val="none"/>
                <w:lang w:val="en-US" w:eastAsia="zh-CN" w:bidi="ar-SA"/>
              </w:rPr>
            </w:pPr>
            <w:r>
              <w:rPr>
                <w:rFonts w:hint="default" w:ascii="Times New Roman" w:hAnsi="Times New Roman" w:eastAsia="宋体" w:cs="Times New Roman"/>
                <w:bCs/>
                <w:color w:val="333333"/>
                <w:sz w:val="24"/>
                <w:szCs w:val="24"/>
                <w:highlight w:val="none"/>
                <w:lang w:val="en-US" w:eastAsia="zh-CN"/>
              </w:rPr>
              <w:t>1</w:t>
            </w:r>
          </w:p>
        </w:tc>
        <w:tc>
          <w:tcPr>
            <w:tcW w:w="2660" w:type="dxa"/>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lang w:val="en-US" w:eastAsia="zh-CN"/>
              </w:rPr>
            </w:pPr>
            <w:r>
              <w:rPr>
                <w:rFonts w:hint="default" w:ascii="Times New Roman" w:hAnsi="Times New Roman" w:eastAsia="宋体" w:cs="Times New Roman"/>
                <w:bCs/>
                <w:color w:val="333333"/>
                <w:sz w:val="24"/>
                <w:szCs w:val="24"/>
                <w:highlight w:val="none"/>
                <w:lang w:val="en-US" w:eastAsia="zh-CN"/>
              </w:rPr>
              <w:t>文明实践进公园绿道</w:t>
            </w:r>
          </w:p>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lang w:val="en-US" w:eastAsia="zh-CN"/>
              </w:rPr>
            </w:pPr>
            <w:r>
              <w:rPr>
                <w:rFonts w:hint="default" w:ascii="Times New Roman" w:hAnsi="Times New Roman" w:eastAsia="宋体" w:cs="Times New Roman"/>
                <w:bCs/>
                <w:color w:val="333333"/>
                <w:sz w:val="24"/>
                <w:szCs w:val="24"/>
                <w:highlight w:val="none"/>
                <w:lang w:val="en-US" w:eastAsia="zh-CN"/>
              </w:rPr>
              <w:t>系列活动</w:t>
            </w:r>
          </w:p>
        </w:tc>
        <w:tc>
          <w:tcPr>
            <w:tcW w:w="572" w:type="dxa"/>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rPr>
            </w:pPr>
            <w:r>
              <w:rPr>
                <w:rFonts w:hint="default" w:ascii="Times New Roman" w:hAnsi="Times New Roman" w:eastAsia="宋体" w:cs="Times New Roman"/>
                <w:bCs/>
                <w:color w:val="333333"/>
                <w:sz w:val="24"/>
                <w:szCs w:val="24"/>
                <w:highlight w:val="none"/>
              </w:rPr>
              <w:t>1</w:t>
            </w:r>
          </w:p>
        </w:tc>
        <w:tc>
          <w:tcPr>
            <w:tcW w:w="778" w:type="dxa"/>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rPr>
            </w:pPr>
            <w:r>
              <w:rPr>
                <w:rFonts w:hint="default" w:ascii="Times New Roman" w:hAnsi="Times New Roman" w:eastAsia="宋体" w:cs="Times New Roman"/>
                <w:bCs/>
                <w:color w:val="333333"/>
                <w:sz w:val="24"/>
                <w:szCs w:val="24"/>
                <w:highlight w:val="none"/>
              </w:rPr>
              <w:t>项</w:t>
            </w:r>
          </w:p>
        </w:tc>
        <w:tc>
          <w:tcPr>
            <w:tcW w:w="1418" w:type="dxa"/>
            <w:vMerge w:val="restart"/>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lang w:val="en-US" w:eastAsia="zh-CN"/>
              </w:rPr>
            </w:pPr>
            <w:r>
              <w:rPr>
                <w:rFonts w:hint="default" w:ascii="Times New Roman" w:hAnsi="Times New Roman" w:eastAsia="宋体" w:cs="Times New Roman"/>
                <w:bCs/>
                <w:color w:val="333333"/>
                <w:sz w:val="24"/>
                <w:szCs w:val="24"/>
                <w:highlight w:val="none"/>
                <w:lang w:val="en-US" w:eastAsia="zh-CN"/>
              </w:rPr>
              <w:t>C05029900-其他社会治理服务</w:t>
            </w:r>
          </w:p>
        </w:tc>
        <w:tc>
          <w:tcPr>
            <w:tcW w:w="1568" w:type="dxa"/>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lang w:val="en-US" w:eastAsia="zh-CN"/>
              </w:rPr>
            </w:pPr>
            <w:r>
              <w:rPr>
                <w:rFonts w:hint="default" w:ascii="Times New Roman" w:hAnsi="Times New Roman" w:eastAsia="宋体" w:cs="Times New Roman"/>
                <w:bCs/>
                <w:color w:val="333333"/>
                <w:sz w:val="24"/>
                <w:szCs w:val="24"/>
                <w:highlight w:val="none"/>
                <w:lang w:val="en-US" w:eastAsia="zh-CN"/>
              </w:rPr>
              <w:t>720000</w:t>
            </w:r>
          </w:p>
        </w:tc>
        <w:tc>
          <w:tcPr>
            <w:tcW w:w="890" w:type="dxa"/>
            <w:vMerge w:val="restart"/>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721" w:type="dxa"/>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kern w:val="2"/>
                <w:sz w:val="24"/>
                <w:szCs w:val="24"/>
                <w:highlight w:val="none"/>
                <w:lang w:val="en-US" w:eastAsia="zh-CN" w:bidi="ar-SA"/>
              </w:rPr>
            </w:pPr>
            <w:r>
              <w:rPr>
                <w:rFonts w:hint="default" w:ascii="Times New Roman" w:hAnsi="Times New Roman" w:eastAsia="宋体" w:cs="Times New Roman"/>
                <w:bCs/>
                <w:color w:val="333333"/>
                <w:sz w:val="24"/>
                <w:szCs w:val="24"/>
                <w:highlight w:val="none"/>
                <w:lang w:val="en-US" w:eastAsia="zh-CN"/>
              </w:rPr>
              <w:t>2</w:t>
            </w:r>
          </w:p>
        </w:tc>
        <w:tc>
          <w:tcPr>
            <w:tcW w:w="2660" w:type="dxa"/>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lang w:val="en-US" w:eastAsia="zh-CN"/>
              </w:rPr>
            </w:pPr>
            <w:r>
              <w:rPr>
                <w:rFonts w:hint="default" w:ascii="Times New Roman" w:hAnsi="Times New Roman" w:eastAsia="宋体" w:cs="Times New Roman"/>
                <w:bCs/>
                <w:color w:val="333333"/>
                <w:sz w:val="24"/>
                <w:szCs w:val="24"/>
                <w:highlight w:val="none"/>
                <w:lang w:val="en-US" w:eastAsia="zh-CN"/>
              </w:rPr>
              <w:t>文明实践进产业园区</w:t>
            </w:r>
          </w:p>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lang w:val="en-US" w:eastAsia="zh-CN"/>
              </w:rPr>
            </w:pPr>
            <w:r>
              <w:rPr>
                <w:rFonts w:hint="default" w:ascii="Times New Roman" w:hAnsi="Times New Roman" w:eastAsia="宋体" w:cs="Times New Roman"/>
                <w:bCs/>
                <w:color w:val="333333"/>
                <w:sz w:val="24"/>
                <w:szCs w:val="24"/>
                <w:highlight w:val="none"/>
                <w:lang w:val="en-US" w:eastAsia="zh-CN"/>
              </w:rPr>
              <w:t>系列活动</w:t>
            </w:r>
          </w:p>
        </w:tc>
        <w:tc>
          <w:tcPr>
            <w:tcW w:w="572" w:type="dxa"/>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rPr>
            </w:pPr>
            <w:r>
              <w:rPr>
                <w:rFonts w:hint="default" w:ascii="Times New Roman" w:hAnsi="Times New Roman" w:eastAsia="宋体" w:cs="Times New Roman"/>
                <w:bCs/>
                <w:color w:val="333333"/>
                <w:sz w:val="24"/>
                <w:szCs w:val="24"/>
                <w:highlight w:val="none"/>
              </w:rPr>
              <w:t>1</w:t>
            </w:r>
          </w:p>
        </w:tc>
        <w:tc>
          <w:tcPr>
            <w:tcW w:w="778" w:type="dxa"/>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rPr>
            </w:pPr>
            <w:r>
              <w:rPr>
                <w:rFonts w:hint="default" w:ascii="Times New Roman" w:hAnsi="Times New Roman" w:eastAsia="宋体" w:cs="Times New Roman"/>
                <w:bCs/>
                <w:color w:val="333333"/>
                <w:sz w:val="24"/>
                <w:szCs w:val="24"/>
                <w:highlight w:val="none"/>
              </w:rPr>
              <w:t>项</w:t>
            </w:r>
          </w:p>
        </w:tc>
        <w:tc>
          <w:tcPr>
            <w:tcW w:w="1418" w:type="dxa"/>
            <w:vMerge w:val="continue"/>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lang w:val="en-US" w:eastAsia="zh-CN"/>
              </w:rPr>
            </w:pPr>
          </w:p>
        </w:tc>
        <w:tc>
          <w:tcPr>
            <w:tcW w:w="1568" w:type="dxa"/>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lang w:val="en-US" w:eastAsia="zh-CN"/>
              </w:rPr>
            </w:pPr>
            <w:r>
              <w:rPr>
                <w:rFonts w:hint="default" w:ascii="Times New Roman" w:hAnsi="Times New Roman" w:eastAsia="宋体" w:cs="Times New Roman"/>
                <w:bCs/>
                <w:color w:val="333333"/>
                <w:sz w:val="24"/>
                <w:szCs w:val="24"/>
                <w:highlight w:val="none"/>
                <w:lang w:val="en-US" w:eastAsia="zh-CN"/>
              </w:rPr>
              <w:t>720000</w:t>
            </w:r>
          </w:p>
        </w:tc>
        <w:tc>
          <w:tcPr>
            <w:tcW w:w="890" w:type="dxa"/>
            <w:vMerge w:val="continue"/>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721" w:type="dxa"/>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lang w:val="en-US" w:eastAsia="zh-CN"/>
              </w:rPr>
            </w:pPr>
            <w:r>
              <w:rPr>
                <w:rFonts w:hint="default" w:ascii="Times New Roman" w:hAnsi="Times New Roman" w:eastAsia="宋体" w:cs="Times New Roman"/>
                <w:bCs/>
                <w:color w:val="333333"/>
                <w:sz w:val="24"/>
                <w:szCs w:val="24"/>
                <w:highlight w:val="none"/>
                <w:lang w:val="en-US" w:eastAsia="zh-CN"/>
              </w:rPr>
              <w:t>3</w:t>
            </w:r>
          </w:p>
        </w:tc>
        <w:tc>
          <w:tcPr>
            <w:tcW w:w="2660" w:type="dxa"/>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lang w:val="en-US" w:eastAsia="zh-CN"/>
              </w:rPr>
            </w:pPr>
            <w:r>
              <w:rPr>
                <w:rFonts w:hint="default" w:ascii="Times New Roman" w:hAnsi="Times New Roman" w:eastAsia="宋体" w:cs="Times New Roman"/>
                <w:bCs/>
                <w:color w:val="333333"/>
                <w:sz w:val="24"/>
                <w:szCs w:val="24"/>
                <w:highlight w:val="none"/>
                <w:lang w:val="en-US" w:eastAsia="zh-CN"/>
              </w:rPr>
              <w:t>文明实践进行业系统</w:t>
            </w:r>
          </w:p>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lang w:val="en-US" w:eastAsia="zh-CN"/>
              </w:rPr>
            </w:pPr>
            <w:r>
              <w:rPr>
                <w:rFonts w:hint="default" w:ascii="Times New Roman" w:hAnsi="Times New Roman" w:eastAsia="宋体" w:cs="Times New Roman"/>
                <w:bCs/>
                <w:color w:val="333333"/>
                <w:sz w:val="24"/>
                <w:szCs w:val="24"/>
                <w:highlight w:val="none"/>
                <w:lang w:val="en-US" w:eastAsia="zh-CN"/>
              </w:rPr>
              <w:t>系列活动</w:t>
            </w:r>
          </w:p>
        </w:tc>
        <w:tc>
          <w:tcPr>
            <w:tcW w:w="572" w:type="dxa"/>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rPr>
            </w:pPr>
            <w:r>
              <w:rPr>
                <w:rFonts w:hint="default" w:ascii="Times New Roman" w:hAnsi="Times New Roman" w:eastAsia="宋体" w:cs="Times New Roman"/>
                <w:bCs/>
                <w:color w:val="333333"/>
                <w:sz w:val="24"/>
                <w:szCs w:val="24"/>
                <w:highlight w:val="none"/>
              </w:rPr>
              <w:t>1</w:t>
            </w:r>
          </w:p>
        </w:tc>
        <w:tc>
          <w:tcPr>
            <w:tcW w:w="778" w:type="dxa"/>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rPr>
            </w:pPr>
            <w:r>
              <w:rPr>
                <w:rFonts w:hint="default" w:ascii="Times New Roman" w:hAnsi="Times New Roman" w:eastAsia="宋体" w:cs="Times New Roman"/>
                <w:bCs/>
                <w:color w:val="333333"/>
                <w:sz w:val="24"/>
                <w:szCs w:val="24"/>
                <w:highlight w:val="none"/>
              </w:rPr>
              <w:t>项</w:t>
            </w:r>
          </w:p>
        </w:tc>
        <w:tc>
          <w:tcPr>
            <w:tcW w:w="1418" w:type="dxa"/>
            <w:vMerge w:val="continue"/>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lang w:val="en-US" w:eastAsia="zh-CN"/>
              </w:rPr>
            </w:pPr>
          </w:p>
        </w:tc>
        <w:tc>
          <w:tcPr>
            <w:tcW w:w="1568" w:type="dxa"/>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lang w:val="en-US" w:eastAsia="zh-CN"/>
              </w:rPr>
            </w:pPr>
            <w:r>
              <w:rPr>
                <w:rFonts w:hint="default" w:ascii="Times New Roman" w:hAnsi="Times New Roman" w:eastAsia="宋体" w:cs="Times New Roman"/>
                <w:bCs/>
                <w:color w:val="333333"/>
                <w:sz w:val="24"/>
                <w:szCs w:val="24"/>
                <w:highlight w:val="none"/>
                <w:lang w:val="en-US" w:eastAsia="zh-CN"/>
              </w:rPr>
              <w:t>720000</w:t>
            </w:r>
          </w:p>
        </w:tc>
        <w:tc>
          <w:tcPr>
            <w:tcW w:w="890" w:type="dxa"/>
            <w:vMerge w:val="continue"/>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721" w:type="dxa"/>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lang w:val="en-US" w:eastAsia="zh-CN"/>
              </w:rPr>
            </w:pPr>
            <w:r>
              <w:rPr>
                <w:rFonts w:hint="default" w:ascii="Times New Roman" w:hAnsi="Times New Roman" w:eastAsia="宋体" w:cs="Times New Roman"/>
                <w:bCs/>
                <w:color w:val="333333"/>
                <w:sz w:val="24"/>
                <w:szCs w:val="24"/>
                <w:highlight w:val="none"/>
                <w:lang w:val="en-US" w:eastAsia="zh-CN"/>
              </w:rPr>
              <w:t>4</w:t>
            </w:r>
          </w:p>
        </w:tc>
        <w:tc>
          <w:tcPr>
            <w:tcW w:w="2660" w:type="dxa"/>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kern w:val="2"/>
                <w:sz w:val="24"/>
                <w:szCs w:val="24"/>
                <w:highlight w:val="none"/>
                <w:lang w:val="en-US" w:eastAsia="zh-CN" w:bidi="ar-SA"/>
              </w:rPr>
            </w:pPr>
            <w:r>
              <w:rPr>
                <w:rFonts w:hint="default" w:ascii="Times New Roman" w:hAnsi="Times New Roman" w:eastAsia="宋体" w:cs="Times New Roman"/>
                <w:bCs/>
                <w:color w:val="333333"/>
                <w:sz w:val="24"/>
                <w:szCs w:val="24"/>
                <w:highlight w:val="none"/>
                <w:lang w:val="en-US" w:eastAsia="zh-CN"/>
              </w:rPr>
              <w:t>“我在文明实践中心过佳节”文明实践活动</w:t>
            </w:r>
          </w:p>
        </w:tc>
        <w:tc>
          <w:tcPr>
            <w:tcW w:w="572" w:type="dxa"/>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kern w:val="2"/>
                <w:sz w:val="24"/>
                <w:szCs w:val="24"/>
                <w:highlight w:val="none"/>
                <w:lang w:val="en-US" w:eastAsia="zh-CN" w:bidi="ar-SA"/>
              </w:rPr>
            </w:pPr>
            <w:r>
              <w:rPr>
                <w:rFonts w:hint="default" w:ascii="Times New Roman" w:hAnsi="Times New Roman" w:eastAsia="宋体" w:cs="Times New Roman"/>
                <w:bCs/>
                <w:color w:val="333333"/>
                <w:sz w:val="24"/>
                <w:szCs w:val="24"/>
                <w:highlight w:val="none"/>
              </w:rPr>
              <w:t>1</w:t>
            </w:r>
          </w:p>
        </w:tc>
        <w:tc>
          <w:tcPr>
            <w:tcW w:w="778" w:type="dxa"/>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kern w:val="2"/>
                <w:sz w:val="24"/>
                <w:szCs w:val="24"/>
                <w:highlight w:val="none"/>
                <w:lang w:val="en-US" w:eastAsia="zh-CN" w:bidi="ar-SA"/>
              </w:rPr>
            </w:pPr>
            <w:r>
              <w:rPr>
                <w:rFonts w:hint="default" w:ascii="Times New Roman" w:hAnsi="Times New Roman" w:eastAsia="宋体" w:cs="Times New Roman"/>
                <w:bCs/>
                <w:color w:val="333333"/>
                <w:sz w:val="24"/>
                <w:szCs w:val="24"/>
                <w:highlight w:val="none"/>
              </w:rPr>
              <w:t>项</w:t>
            </w:r>
          </w:p>
        </w:tc>
        <w:tc>
          <w:tcPr>
            <w:tcW w:w="1418" w:type="dxa"/>
            <w:vMerge w:val="continue"/>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lang w:val="en-US" w:eastAsia="zh-CN"/>
              </w:rPr>
            </w:pPr>
          </w:p>
        </w:tc>
        <w:tc>
          <w:tcPr>
            <w:tcW w:w="1568" w:type="dxa"/>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lang w:val="en-US" w:eastAsia="zh-CN"/>
              </w:rPr>
            </w:pPr>
            <w:r>
              <w:rPr>
                <w:rFonts w:hint="default" w:ascii="Times New Roman" w:hAnsi="Times New Roman" w:eastAsia="宋体" w:cs="Times New Roman"/>
                <w:bCs/>
                <w:color w:val="333333"/>
                <w:sz w:val="24"/>
                <w:szCs w:val="24"/>
                <w:highlight w:val="none"/>
                <w:lang w:val="en-US" w:eastAsia="zh-CN"/>
              </w:rPr>
              <w:t>440000</w:t>
            </w:r>
          </w:p>
        </w:tc>
        <w:tc>
          <w:tcPr>
            <w:tcW w:w="890" w:type="dxa"/>
            <w:vMerge w:val="continue"/>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721" w:type="dxa"/>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lang w:val="en-US" w:eastAsia="zh-CN"/>
              </w:rPr>
            </w:pPr>
            <w:r>
              <w:rPr>
                <w:rFonts w:hint="default" w:ascii="Times New Roman" w:hAnsi="Times New Roman" w:eastAsia="宋体" w:cs="Times New Roman"/>
                <w:bCs/>
                <w:color w:val="333333"/>
                <w:sz w:val="24"/>
                <w:szCs w:val="24"/>
                <w:highlight w:val="none"/>
                <w:lang w:val="en-US" w:eastAsia="zh-CN"/>
              </w:rPr>
              <w:t>5</w:t>
            </w:r>
          </w:p>
        </w:tc>
        <w:tc>
          <w:tcPr>
            <w:tcW w:w="2660" w:type="dxa"/>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lang w:val="en-US" w:eastAsia="zh-CN"/>
              </w:rPr>
            </w:pPr>
            <w:r>
              <w:rPr>
                <w:rFonts w:hint="default" w:ascii="Times New Roman" w:hAnsi="Times New Roman" w:eastAsia="宋体" w:cs="Times New Roman"/>
                <w:bCs/>
                <w:color w:val="333333"/>
                <w:sz w:val="24"/>
                <w:szCs w:val="24"/>
                <w:highlight w:val="none"/>
                <w:lang w:val="en-US" w:eastAsia="zh-CN"/>
              </w:rPr>
              <w:t>文明行为实践倡导活动</w:t>
            </w:r>
          </w:p>
        </w:tc>
        <w:tc>
          <w:tcPr>
            <w:tcW w:w="572" w:type="dxa"/>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rPr>
            </w:pPr>
            <w:r>
              <w:rPr>
                <w:rFonts w:hint="default" w:ascii="Times New Roman" w:hAnsi="Times New Roman" w:eastAsia="宋体" w:cs="Times New Roman"/>
                <w:bCs/>
                <w:color w:val="333333"/>
                <w:sz w:val="24"/>
                <w:szCs w:val="24"/>
                <w:highlight w:val="none"/>
              </w:rPr>
              <w:t>1</w:t>
            </w:r>
          </w:p>
        </w:tc>
        <w:tc>
          <w:tcPr>
            <w:tcW w:w="778" w:type="dxa"/>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rPr>
            </w:pPr>
            <w:r>
              <w:rPr>
                <w:rFonts w:hint="default" w:ascii="Times New Roman" w:hAnsi="Times New Roman" w:eastAsia="宋体" w:cs="Times New Roman"/>
                <w:bCs/>
                <w:color w:val="333333"/>
                <w:sz w:val="24"/>
                <w:szCs w:val="24"/>
                <w:highlight w:val="none"/>
              </w:rPr>
              <w:t>项</w:t>
            </w:r>
          </w:p>
        </w:tc>
        <w:tc>
          <w:tcPr>
            <w:tcW w:w="1418" w:type="dxa"/>
            <w:vMerge w:val="continue"/>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lang w:val="en-US" w:eastAsia="zh-CN"/>
              </w:rPr>
            </w:pPr>
          </w:p>
        </w:tc>
        <w:tc>
          <w:tcPr>
            <w:tcW w:w="1568" w:type="dxa"/>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lang w:val="en-US" w:eastAsia="zh-CN"/>
              </w:rPr>
            </w:pPr>
            <w:r>
              <w:rPr>
                <w:rFonts w:hint="default" w:ascii="Times New Roman" w:hAnsi="Times New Roman" w:eastAsia="宋体" w:cs="Times New Roman"/>
                <w:bCs/>
                <w:color w:val="333333"/>
                <w:sz w:val="24"/>
                <w:szCs w:val="24"/>
                <w:highlight w:val="none"/>
                <w:lang w:val="en-US" w:eastAsia="zh-CN"/>
              </w:rPr>
              <w:t>620000</w:t>
            </w:r>
          </w:p>
        </w:tc>
        <w:tc>
          <w:tcPr>
            <w:tcW w:w="890" w:type="dxa"/>
            <w:vMerge w:val="continue"/>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8607" w:type="dxa"/>
            <w:gridSpan w:val="7"/>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Cs/>
                <w:color w:val="333333"/>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合计：</w:t>
            </w:r>
            <w:r>
              <w:rPr>
                <w:rFonts w:hint="default" w:ascii="Times New Roman" w:hAnsi="Times New Roman" w:eastAsia="宋体" w:cs="Times New Roman"/>
                <w:bCs/>
                <w:color w:val="333333"/>
                <w:sz w:val="24"/>
                <w:szCs w:val="24"/>
                <w:highlight w:val="none"/>
                <w:lang w:val="en-US" w:eastAsia="zh-CN"/>
              </w:rPr>
              <w:t>3220000</w:t>
            </w:r>
            <w:r>
              <w:rPr>
                <w:rFonts w:hint="default" w:ascii="Times New Roman" w:hAnsi="Times New Roman" w:eastAsia="宋体" w:cs="Times New Roman"/>
                <w:i w:val="0"/>
                <w:iCs w:val="0"/>
                <w:color w:val="000000"/>
                <w:sz w:val="24"/>
                <w:szCs w:val="24"/>
                <w:highlight w:val="none"/>
                <w:u w:val="none"/>
                <w:lang w:val="en-US" w:eastAsia="zh-CN"/>
              </w:rPr>
              <w:t>元</w:t>
            </w:r>
          </w:p>
        </w:tc>
      </w:tr>
    </w:tbl>
    <w:p>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bCs/>
          <w:color w:val="auto"/>
          <w:sz w:val="28"/>
          <w:szCs w:val="28"/>
          <w:highlight w:val="none"/>
          <w:lang w:val="en-US" w:eastAsia="zh-CN"/>
        </w:rPr>
        <w:t>包1:</w:t>
      </w:r>
      <w:r>
        <w:rPr>
          <w:rFonts w:hint="default" w:ascii="Times New Roman" w:hAnsi="Times New Roman" w:eastAsia="宋体" w:cs="Times New Roman"/>
          <w:b/>
          <w:bCs/>
          <w:color w:val="000000"/>
          <w:kern w:val="0"/>
          <w:sz w:val="28"/>
          <w:szCs w:val="28"/>
          <w:highlight w:val="none"/>
          <w:lang w:val="en-US" w:eastAsia="zh-CN"/>
        </w:rPr>
        <w:t>文明实践进公园绿道系列活动</w:t>
      </w:r>
    </w:p>
    <w:p>
      <w:pPr>
        <w:pStyle w:val="6"/>
        <w:keepNext w:val="0"/>
        <w:keepLines w:val="0"/>
        <w:pageBreakBefore w:val="0"/>
        <w:kinsoku/>
        <w:wordWrap/>
        <w:overflowPunct/>
        <w:topLinePunct w:val="0"/>
        <w:autoSpaceDE/>
        <w:autoSpaceDN/>
        <w:bidi w:val="0"/>
        <w:adjustRightInd/>
        <w:snapToGrid/>
        <w:spacing w:line="480" w:lineRule="exact"/>
        <w:ind w:firstLine="562" w:firstLineChars="200"/>
        <w:jc w:val="left"/>
        <w:textAlignment w:val="auto"/>
        <w:rPr>
          <w:rFonts w:hint="default" w:ascii="Times New Roman" w:hAnsi="Times New Roman" w:eastAsia="宋体" w:cs="Times New Roman"/>
          <w:color w:val="auto"/>
          <w:sz w:val="28"/>
          <w:szCs w:val="28"/>
          <w:highlight w:val="none"/>
          <w:lang w:eastAsia="zh-CN"/>
        </w:rPr>
      </w:pPr>
      <w:r>
        <w:rPr>
          <w:rFonts w:hint="default" w:ascii="Times New Roman" w:hAnsi="Times New Roman" w:eastAsia="宋体" w:cs="Times New Roman"/>
          <w:b/>
          <w:bCs/>
          <w:color w:val="auto"/>
          <w:sz w:val="28"/>
          <w:szCs w:val="28"/>
          <w:highlight w:val="none"/>
          <w:lang w:eastAsia="zh-CN"/>
        </w:rPr>
        <w:t>（一）服务内容与要求</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sz w:val="28"/>
          <w:szCs w:val="28"/>
          <w:highlight w:val="none"/>
          <w:lang w:val="en-US"/>
        </w:rPr>
      </w:pPr>
      <w:r>
        <w:rPr>
          <w:rFonts w:hint="default" w:ascii="Times New Roman" w:hAnsi="Times New Roman" w:eastAsia="宋体" w:cs="Times New Roman"/>
          <w:b w:val="0"/>
          <w:bCs/>
          <w:color w:val="000000"/>
          <w:kern w:val="0"/>
          <w:sz w:val="28"/>
          <w:szCs w:val="28"/>
          <w:highlight w:val="none"/>
          <w:lang w:val="en-US" w:eastAsia="zh-CN"/>
        </w:rPr>
        <w:t>1.供应商主要依托成都市公园绿道场景，策划组织文明实践活动不少于20场。具体要求如下：</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1）20场活动中至少有4场示范活动，每场示范活动要求设置不少于2个群众性宣传宣讲环节，组织不少于10个“文明集市互动摊位”面向群众开展便民服务；常规活动要求设置不少于1个群众性宣传宣讲环节，组织不少于6个“文明集市互动摊位”面向群众开展便民服务；</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（2）全权负责协调提供活动场地，负责群众组织发动；</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（3）全权负责活动现场布置、营造氛围；</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（4）活动中至少配备1名专业摄像人员跟拍活动，留存完整活动影像素材；</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2.供应商在项目执行中，要负责开展项目宣传。具体要求如下：</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（1）产出新媒体宣传产品不少于10个、推文不少于5条，其中单条传播量达到10万以上宣传产品不少于1个、单条传播量达到1万以上宣传产品不少于5个；</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（2）在中央和省级媒体宣传各不少于5条。</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（3）要产出1个总结性宣传视频，对项目内容特色亮点进行提炼总结，视频时长不少于5分钟，画质参数达到4K标准，画面清晰、剪辑流畅、配乐合规、无版权纠纷。</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3.供应商应组建专门的服务团队负责本项目的管理与实施，且</w:t>
      </w:r>
      <w:r>
        <w:rPr>
          <w:rFonts w:hint="default" w:ascii="Times New Roman" w:hAnsi="Times New Roman" w:eastAsia="宋体" w:cs="Times New Roman"/>
          <w:color w:val="auto"/>
          <w:sz w:val="28"/>
          <w:szCs w:val="28"/>
          <w:highlight w:val="none"/>
          <w:lang w:val="en-US" w:eastAsia="zh-CN"/>
        </w:rPr>
        <w:t>在项目策划、组织、结项期间，要根据采购人需求，派驻专人到指定地点办公。</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4.供应商须为本项目每场活动配套足额安全责任保险，并对合同履约期间所发生的一切安全事故承担责任（如因供应商工作人员在履行职务过程中的疏忽、失职、过错等故意或者过失原因造成财产损失、人身事故，由此而导致的采购人对任何第三方的法律责任等，供应商对此均应承担全部的赔偿责任。）</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5.供应商成交后应继续深化优化方案直到符合采购人要求，待采购人确认执行方案后再执行。</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6.供应商服务本项目过程中产生的影像、图片、文字等与项目实施相关的资料，其知识产权归采购人所有，成交供应商无条件提供底稿。</w:t>
      </w:r>
    </w:p>
    <w:p>
      <w:pPr>
        <w:keepNext w:val="0"/>
        <w:keepLines w:val="0"/>
        <w:pageBreakBefore w:val="0"/>
        <w:kinsoku/>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bCs w:val="0"/>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7.供应商需在项目执行结束后，及时向采购人提交结项报告，并将活动开展相关的所有资料（包括文字、高清影像、高清图片等资料）进行有条理的归纳和整理，影像资料需按采购人要求进行剪辑制作，资料需统一移交给采购人。</w:t>
      </w:r>
      <w:r>
        <w:rPr>
          <w:rFonts w:hint="default" w:ascii="Times New Roman" w:hAnsi="Times New Roman" w:eastAsia="宋体" w:cs="Times New Roman"/>
          <w:b/>
          <w:bCs w:val="0"/>
          <w:color w:val="000000"/>
          <w:kern w:val="0"/>
          <w:sz w:val="28"/>
          <w:szCs w:val="28"/>
          <w:highlight w:val="none"/>
          <w:lang w:val="en-US" w:eastAsia="zh-CN"/>
        </w:rPr>
        <w:t xml:space="preserve">    </w:t>
      </w:r>
    </w:p>
    <w:p>
      <w:pPr>
        <w:pStyle w:val="6"/>
        <w:keepNext w:val="0"/>
        <w:keepLines w:val="0"/>
        <w:pageBreakBefore w:val="0"/>
        <w:kinsoku/>
        <w:wordWrap/>
        <w:overflowPunct/>
        <w:topLinePunct w:val="0"/>
        <w:autoSpaceDE/>
        <w:autoSpaceDN/>
        <w:bidi w:val="0"/>
        <w:adjustRightInd/>
        <w:snapToGrid/>
        <w:spacing w:line="480" w:lineRule="exact"/>
        <w:ind w:firstLine="562" w:firstLineChars="200"/>
        <w:jc w:val="left"/>
        <w:textAlignment w:val="auto"/>
        <w:rPr>
          <w:rFonts w:hint="default" w:ascii="Times New Roman" w:hAnsi="Times New Roman" w:eastAsia="宋体" w:cs="Times New Roman"/>
          <w:b/>
          <w:bCs/>
          <w:color w:val="auto"/>
          <w:sz w:val="28"/>
          <w:szCs w:val="28"/>
          <w:highlight w:val="yellow"/>
          <w:lang w:val="en-US" w:eastAsia="zh-CN"/>
        </w:rPr>
      </w:pPr>
    </w:p>
    <w:p>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color w:val="auto"/>
          <w:sz w:val="28"/>
          <w:szCs w:val="28"/>
          <w:highlight w:val="none"/>
          <w:lang w:val="en-US" w:eastAsia="zh-CN"/>
        </w:rPr>
      </w:pPr>
      <w:r>
        <w:rPr>
          <w:rFonts w:hint="default" w:ascii="Times New Roman" w:hAnsi="Times New Roman" w:eastAsia="宋体" w:cs="Times New Roman"/>
          <w:b/>
          <w:bCs/>
          <w:color w:val="auto"/>
          <w:sz w:val="28"/>
          <w:szCs w:val="28"/>
          <w:highlight w:val="none"/>
          <w:lang w:val="en-US" w:eastAsia="zh-CN"/>
        </w:rPr>
        <w:t>包2:</w:t>
      </w:r>
      <w:r>
        <w:rPr>
          <w:rFonts w:hint="default" w:ascii="Times New Roman" w:hAnsi="Times New Roman" w:eastAsia="宋体" w:cs="Times New Roman"/>
          <w:b/>
          <w:bCs/>
          <w:color w:val="333333"/>
          <w:sz w:val="28"/>
          <w:szCs w:val="28"/>
          <w:highlight w:val="none"/>
          <w:lang w:val="en-US" w:eastAsia="zh-CN"/>
        </w:rPr>
        <w:t>文明实践进产业园区系列活动</w:t>
      </w:r>
    </w:p>
    <w:p>
      <w:pPr>
        <w:pStyle w:val="6"/>
        <w:keepNext w:val="0"/>
        <w:keepLines w:val="0"/>
        <w:pageBreakBefore w:val="0"/>
        <w:kinsoku/>
        <w:wordWrap/>
        <w:overflowPunct/>
        <w:topLinePunct w:val="0"/>
        <w:autoSpaceDE/>
        <w:autoSpaceDN/>
        <w:bidi w:val="0"/>
        <w:adjustRightInd/>
        <w:snapToGrid/>
        <w:spacing w:line="480" w:lineRule="exact"/>
        <w:ind w:firstLine="562" w:firstLineChars="200"/>
        <w:jc w:val="left"/>
        <w:textAlignment w:val="auto"/>
        <w:rPr>
          <w:rFonts w:hint="default" w:ascii="Times New Roman" w:hAnsi="Times New Roman" w:eastAsia="宋体" w:cs="Times New Roman"/>
          <w:color w:val="auto"/>
          <w:sz w:val="28"/>
          <w:szCs w:val="28"/>
          <w:highlight w:val="none"/>
          <w:lang w:eastAsia="zh-CN"/>
        </w:rPr>
      </w:pPr>
      <w:r>
        <w:rPr>
          <w:rFonts w:hint="default" w:ascii="Times New Roman" w:hAnsi="Times New Roman" w:eastAsia="宋体" w:cs="Times New Roman"/>
          <w:b/>
          <w:bCs/>
          <w:color w:val="auto"/>
          <w:sz w:val="28"/>
          <w:szCs w:val="28"/>
          <w:highlight w:val="none"/>
          <w:lang w:eastAsia="zh-CN"/>
        </w:rPr>
        <w:t>（一）服务内容与要求</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sz w:val="28"/>
          <w:szCs w:val="28"/>
          <w:highlight w:val="none"/>
          <w:lang w:val="en-US"/>
        </w:rPr>
      </w:pPr>
      <w:r>
        <w:rPr>
          <w:rFonts w:hint="default" w:ascii="Times New Roman" w:hAnsi="Times New Roman" w:eastAsia="宋体" w:cs="Times New Roman"/>
          <w:b w:val="0"/>
          <w:bCs/>
          <w:color w:val="000000"/>
          <w:kern w:val="0"/>
          <w:sz w:val="28"/>
          <w:szCs w:val="28"/>
          <w:highlight w:val="none"/>
          <w:lang w:val="en-US" w:eastAsia="zh-CN"/>
        </w:rPr>
        <w:t>1.供应商主要依托成都市各产业园区场景，策划组织文明实践活动不少于20场。具体要求如下：</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1）20场活动中至少有4场示范活动，每场示范活动要求设置不少于2个群众性宣传宣讲环节，组织不少于10个“文明集市互动摊位”面向群众开展便民服务；常规活动要求设置不少于1个群众性宣传宣讲环节，组织不少于6个“文明集市互动摊位”面向群众开展便民服务；</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（2）全权负责协调提供活动场地，负责群众组织发动；</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（3）全权负责活动场地布置、营造氛围；</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（4）活动中至少配置1名专业摄像人员跟拍活动，留存完整活动影像素材；</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2.供应商在项目执行中，要负责开展项目宣传。具体要求如下：</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（1）产出新媒体宣传产品不少于10个、推文不少于5条，其中单条传播量达到10万以上宣传产品不少于1个、单条传播量达到1万以上宣传产品不少于5个；</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（2）在中央和省级媒体宣传各不少于5条。</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（3）要产出1个总结性宣传视频，对项目内容特色亮点进行提炼总结，视频时长不少于5分钟，画质参数达到4K标准，画面清晰、剪辑流畅、配乐合规、无版权纠纷。</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3.供应商应组建专门的服务团队负责本项目的管理与实施，且</w:t>
      </w:r>
      <w:r>
        <w:rPr>
          <w:rFonts w:hint="default" w:ascii="Times New Roman" w:hAnsi="Times New Roman" w:eastAsia="宋体" w:cs="Times New Roman"/>
          <w:color w:val="auto"/>
          <w:sz w:val="28"/>
          <w:szCs w:val="28"/>
          <w:highlight w:val="none"/>
          <w:lang w:val="en-US" w:eastAsia="zh-CN"/>
        </w:rPr>
        <w:t>在项目策划、组织、结项期间，要根据采购人需求，派驻专人到指定地点办公。</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4.供应商须为本项目每场活动配套足额安全责任保险，并对合同履约期间所发生的一切安全事故承担责任（如因供应商工作人员在履行职务过程中的疏忽、失职、过错等故意或者过失原因造成财产损失、人身事故，由此而导致的采购人对任何第三方的法律责任等，供应商对此均应承担全部的赔偿责任。）</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5.供应商成交后应继续深化优化方案直到符合采购人要求，待采购人确认执行方案后再执行。</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6.供应商服务本项目过程中产生的影像、图片、文字等与项目实施相关的资料，其知识产权归采购人所有，成交供应商无条件提供底稿。</w:t>
      </w:r>
    </w:p>
    <w:p>
      <w:pPr>
        <w:keepNext w:val="0"/>
        <w:keepLines w:val="0"/>
        <w:pageBreakBefore w:val="0"/>
        <w:kinsoku/>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bCs w:val="0"/>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7.供应商需在项目执行结束后，及时向采购人提交结项报告，并将活动开展相关的所有资料（包括文字、高清影像、高清图片等资料）进行有条理的归纳和整理，影像资料需按采购人要求进行剪辑制作，资料需统一移交给采购人。</w:t>
      </w:r>
      <w:r>
        <w:rPr>
          <w:rFonts w:hint="default" w:ascii="Times New Roman" w:hAnsi="Times New Roman" w:eastAsia="宋体" w:cs="Times New Roman"/>
          <w:b/>
          <w:bCs w:val="0"/>
          <w:color w:val="000000"/>
          <w:kern w:val="0"/>
          <w:sz w:val="28"/>
          <w:szCs w:val="28"/>
          <w:highlight w:val="none"/>
          <w:lang w:val="en-US" w:eastAsia="zh-CN"/>
        </w:rPr>
        <w:t xml:space="preserve">     </w:t>
      </w:r>
    </w:p>
    <w:p>
      <w:pPr>
        <w:keepNext w:val="0"/>
        <w:keepLines w:val="0"/>
        <w:pageBreakBefore w:val="0"/>
        <w:kinsoku/>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p>
    <w:p>
      <w:pPr>
        <w:pStyle w:val="6"/>
        <w:keepNext w:val="0"/>
        <w:keepLines w:val="0"/>
        <w:pageBreakBefore w:val="0"/>
        <w:kinsoku/>
        <w:wordWrap/>
        <w:overflowPunct/>
        <w:topLinePunct w:val="0"/>
        <w:autoSpaceDE/>
        <w:autoSpaceDN/>
        <w:bidi w:val="0"/>
        <w:adjustRightInd/>
        <w:snapToGrid/>
        <w:spacing w:line="480" w:lineRule="exact"/>
        <w:ind w:firstLine="562" w:firstLineChars="200"/>
        <w:jc w:val="left"/>
        <w:textAlignment w:val="auto"/>
        <w:rPr>
          <w:rFonts w:hint="default" w:ascii="Times New Roman" w:hAnsi="Times New Roman" w:eastAsia="宋体" w:cs="Times New Roman"/>
          <w:b/>
          <w:bCs/>
          <w:color w:val="auto"/>
          <w:sz w:val="28"/>
          <w:szCs w:val="28"/>
          <w:highlight w:val="yellow"/>
          <w:lang w:val="en-US" w:eastAsia="zh-CN"/>
        </w:rPr>
      </w:pPr>
    </w:p>
    <w:p>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color w:val="333333"/>
          <w:sz w:val="24"/>
          <w:szCs w:val="24"/>
          <w:highlight w:val="none"/>
          <w:lang w:val="en-US" w:eastAsia="zh-CN"/>
        </w:rPr>
      </w:pPr>
      <w:r>
        <w:rPr>
          <w:rFonts w:hint="default" w:ascii="Times New Roman" w:hAnsi="Times New Roman" w:eastAsia="宋体" w:cs="Times New Roman"/>
          <w:b/>
          <w:bCs/>
          <w:color w:val="auto"/>
          <w:sz w:val="28"/>
          <w:szCs w:val="28"/>
          <w:highlight w:val="none"/>
          <w:lang w:val="en-US" w:eastAsia="zh-CN"/>
        </w:rPr>
        <w:t>包3:</w:t>
      </w:r>
      <w:r>
        <w:rPr>
          <w:rFonts w:hint="default" w:ascii="Times New Roman" w:hAnsi="Times New Roman" w:eastAsia="宋体" w:cs="Times New Roman"/>
          <w:b/>
          <w:bCs/>
          <w:color w:val="000000"/>
          <w:kern w:val="0"/>
          <w:sz w:val="28"/>
          <w:szCs w:val="28"/>
          <w:highlight w:val="none"/>
          <w:lang w:val="en-US" w:eastAsia="zh-CN"/>
        </w:rPr>
        <w:t>文明实践进行业系统系列活动</w:t>
      </w:r>
    </w:p>
    <w:p>
      <w:pPr>
        <w:keepNext w:val="0"/>
        <w:keepLines w:val="0"/>
        <w:pageBreakBefore w:val="0"/>
        <w:widowControl w:val="0"/>
        <w:kinsoku/>
        <w:wordWrap w:val="0"/>
        <w:overflowPunct/>
        <w:topLinePunct w:val="0"/>
        <w:autoSpaceDE/>
        <w:autoSpaceDN/>
        <w:bidi w:val="0"/>
        <w:adjustRightInd/>
        <w:snapToGrid/>
        <w:spacing w:line="400" w:lineRule="exact"/>
        <w:ind w:firstLine="562" w:firstLineChars="200"/>
        <w:jc w:val="left"/>
        <w:textAlignment w:val="auto"/>
        <w:rPr>
          <w:rFonts w:hint="default" w:ascii="Times New Roman" w:hAnsi="Times New Roman" w:eastAsia="宋体" w:cs="Times New Roman"/>
          <w:color w:val="auto"/>
          <w:sz w:val="28"/>
          <w:szCs w:val="28"/>
          <w:highlight w:val="none"/>
          <w:lang w:eastAsia="zh-CN"/>
        </w:rPr>
      </w:pPr>
      <w:r>
        <w:rPr>
          <w:rFonts w:hint="default" w:ascii="Times New Roman" w:hAnsi="Times New Roman" w:eastAsia="宋体" w:cs="Times New Roman"/>
          <w:b/>
          <w:bCs/>
          <w:color w:val="auto"/>
          <w:sz w:val="28"/>
          <w:szCs w:val="28"/>
          <w:highlight w:val="none"/>
          <w:lang w:eastAsia="zh-CN"/>
        </w:rPr>
        <w:t>（一）服务内容与要求</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宋体" w:cs="Times New Roman"/>
          <w:b w:val="0"/>
          <w:bCs/>
          <w:sz w:val="28"/>
          <w:szCs w:val="28"/>
          <w:highlight w:val="none"/>
          <w:lang w:val="en-US"/>
        </w:rPr>
      </w:pPr>
      <w:r>
        <w:rPr>
          <w:rFonts w:hint="default" w:ascii="Times New Roman" w:hAnsi="Times New Roman" w:eastAsia="宋体" w:cs="Times New Roman"/>
          <w:b w:val="0"/>
          <w:bCs/>
          <w:color w:val="000000"/>
          <w:kern w:val="0"/>
          <w:sz w:val="28"/>
          <w:szCs w:val="28"/>
          <w:highlight w:val="none"/>
          <w:lang w:val="en-US" w:eastAsia="zh-CN"/>
        </w:rPr>
        <w:t>1.供应商主要依托成都市交通枢纽、书院书屋、校园等场景，策划组织文明实践活动不少于20场。具体要求如下：</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1）20场活动中至少有4场示范活动，每场示范活动要求设置不少于2个群众性宣传宣讲环节，组织不少于10个“文明集市互动摊位”面向群众开展便民服务；常规活动要求设置不少于1个群众性宣传宣讲环节，组织不少于6个“文明集市互动摊位”面向群众开展便民服务；</w:t>
      </w:r>
    </w:p>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（2）全权负责协调提供活动场地，负责群众组织发动；</w:t>
      </w:r>
    </w:p>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（3）全权负责活动场地布置、营造氛围；</w:t>
      </w:r>
    </w:p>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（4）活动中至少配备1名专业摄像人员跟拍活动，留存完整活动影像素材；</w:t>
      </w:r>
    </w:p>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2.供应商在项目执行中，要负责开展项目宣传。具体要求如下：</w:t>
      </w:r>
    </w:p>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（1）产出新媒体宣传产品不少于10个、推文不少于5条，其中单条传播量达到10万以上宣传产品不少于1个、单条传播量达到1万以上宣传产品不少于5个；</w:t>
      </w:r>
    </w:p>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（2）在中央和省级媒体宣传各不少于5条。</w:t>
      </w:r>
    </w:p>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（3）要产出1个总结性宣传视频，对项目内容特色亮点进行提炼总结，视频时长不少于5分钟，画质参数达到4K标准，画面清晰、剪辑流畅、配乐合规、无版权纠纷。</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3.供应商应组建专门的服务团队负责本项目的管理与实施，且</w:t>
      </w:r>
      <w:r>
        <w:rPr>
          <w:rFonts w:hint="default" w:ascii="Times New Roman" w:hAnsi="Times New Roman" w:eastAsia="宋体" w:cs="Times New Roman"/>
          <w:color w:val="auto"/>
          <w:sz w:val="28"/>
          <w:szCs w:val="28"/>
          <w:highlight w:val="none"/>
          <w:lang w:val="en-US" w:eastAsia="zh-CN"/>
        </w:rPr>
        <w:t>在项目策划、组织、结项期间，要根据采购人需求，派驻专人到指定地点办公。</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4.供应商须为本项目每场活动配套足额安全责任保险，并对合同履约期间所发生的一切安全事故承担责任（如因供应商工作人员在履行职务过程中的疏忽、失职、过错等故意或者过失原因造成财产损失、人身事故，由此而导致的采购人对任何第三方的法律责任等，供应商对此均应承担全部的赔偿责任。）</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5.供应商成交后应继续深化优化方案直到符合采购人要求，待采购人确认执行方案后再执行。</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6.供应商服务本项目过程中产生的影像、图片、文字等与项目实施相关的资料，其知识产权归采购人所有，成交供应商无条件提供底稿。</w:t>
      </w:r>
    </w:p>
    <w:p>
      <w:pPr>
        <w:keepNext w:val="0"/>
        <w:keepLines w:val="0"/>
        <w:pageBreakBefore w:val="0"/>
        <w:kinsoku/>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bCs w:val="0"/>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7.供应商需在项目执行结束后，及时向采购人提交结项报告，并将活动开展相关的所有资料（包括文字、高清影像、高清图片等资料）进行有条理的归纳和整理，影像资料需按采购人要求进行剪辑制作，资料需统一移交给采购人。</w:t>
      </w:r>
      <w:r>
        <w:rPr>
          <w:rFonts w:hint="default" w:ascii="Times New Roman" w:hAnsi="Times New Roman" w:eastAsia="宋体" w:cs="Times New Roman"/>
          <w:b/>
          <w:bCs w:val="0"/>
          <w:color w:val="000000"/>
          <w:kern w:val="0"/>
          <w:sz w:val="28"/>
          <w:szCs w:val="28"/>
          <w:highlight w:val="none"/>
          <w:lang w:val="en-US" w:eastAsia="zh-CN"/>
        </w:rPr>
        <w:t xml:space="preserve">    </w:t>
      </w:r>
    </w:p>
    <w:p>
      <w:pPr>
        <w:keepNext w:val="0"/>
        <w:keepLines w:val="0"/>
        <w:pageBreakBefore w:val="0"/>
        <w:kinsoku/>
        <w:overflowPunct/>
        <w:topLinePunct w:val="0"/>
        <w:autoSpaceDE/>
        <w:autoSpaceDN/>
        <w:bidi w:val="0"/>
        <w:adjustRightInd/>
        <w:snapToGrid/>
        <w:spacing w:line="480" w:lineRule="exact"/>
        <w:ind w:firstLine="840" w:firstLineChars="300"/>
        <w:textAlignment w:val="auto"/>
        <w:rPr>
          <w:rFonts w:hint="default" w:ascii="Times New Roman" w:hAnsi="Times New Roman" w:eastAsia="宋体" w:cs="Times New Roman"/>
          <w:b w:val="0"/>
          <w:bCs/>
          <w:color w:val="000000"/>
          <w:kern w:val="0"/>
          <w:sz w:val="28"/>
          <w:szCs w:val="28"/>
          <w:highlight w:val="none"/>
          <w:lang w:val="en-US" w:eastAsia="zh-CN"/>
        </w:rPr>
      </w:pPr>
    </w:p>
    <w:p>
      <w:pPr>
        <w:pStyle w:val="6"/>
        <w:keepNext w:val="0"/>
        <w:keepLines w:val="0"/>
        <w:pageBreakBefore w:val="0"/>
        <w:shd w:val="clear" w:color="auto" w:fill="auto"/>
        <w:kinsoku/>
        <w:wordWrap/>
        <w:overflowPunct/>
        <w:topLinePunct w:val="0"/>
        <w:autoSpaceDE/>
        <w:autoSpaceDN/>
        <w:bidi w:val="0"/>
        <w:adjustRightInd/>
        <w:snapToGrid/>
        <w:spacing w:line="360" w:lineRule="auto"/>
        <w:ind w:firstLine="562" w:firstLineChars="200"/>
        <w:jc w:val="left"/>
        <w:textAlignment w:val="auto"/>
        <w:rPr>
          <w:rFonts w:hint="default" w:ascii="Times New Roman" w:hAnsi="Times New Roman" w:eastAsia="宋体" w:cs="Times New Roman"/>
          <w:b w:val="0"/>
          <w:bCs/>
          <w:color w:val="000000"/>
          <w:kern w:val="0"/>
          <w:sz w:val="28"/>
          <w:szCs w:val="28"/>
          <w:highlight w:val="none"/>
          <w:lang w:val="en-US" w:eastAsia="zh-CN" w:bidi="ar-SA"/>
        </w:rPr>
      </w:pPr>
      <w:r>
        <w:rPr>
          <w:rFonts w:hint="default" w:ascii="Times New Roman" w:hAnsi="Times New Roman" w:eastAsia="宋体" w:cs="Times New Roman"/>
          <w:b/>
          <w:bCs/>
          <w:color w:val="auto"/>
          <w:sz w:val="28"/>
          <w:szCs w:val="28"/>
          <w:highlight w:val="none"/>
          <w:lang w:val="en-US" w:eastAsia="zh-CN"/>
        </w:rPr>
        <w:t>包4:</w:t>
      </w:r>
      <w:r>
        <w:rPr>
          <w:rFonts w:hint="default" w:ascii="Times New Roman" w:hAnsi="Times New Roman" w:eastAsia="宋体" w:cs="Times New Roman"/>
          <w:b/>
          <w:bCs/>
          <w:color w:val="000000"/>
          <w:kern w:val="0"/>
          <w:sz w:val="28"/>
          <w:szCs w:val="28"/>
          <w:highlight w:val="none"/>
          <w:lang w:val="en-US" w:eastAsia="zh-CN" w:bidi="ar-SA"/>
        </w:rPr>
        <w:t>“我在文明实践中心过佳节”文明实践活动</w:t>
      </w:r>
    </w:p>
    <w:p>
      <w:pPr>
        <w:pStyle w:val="6"/>
        <w:keepNext w:val="0"/>
        <w:keepLines w:val="0"/>
        <w:pageBreakBefore w:val="0"/>
        <w:shd w:val="clear" w:color="auto" w:fill="auto"/>
        <w:kinsoku/>
        <w:wordWrap/>
        <w:overflowPunct/>
        <w:topLinePunct w:val="0"/>
        <w:autoSpaceDE/>
        <w:autoSpaceDN/>
        <w:bidi w:val="0"/>
        <w:adjustRightInd/>
        <w:snapToGrid/>
        <w:spacing w:line="480" w:lineRule="exact"/>
        <w:ind w:firstLine="562" w:firstLineChars="200"/>
        <w:jc w:val="left"/>
        <w:textAlignment w:val="auto"/>
        <w:rPr>
          <w:rFonts w:hint="default" w:ascii="Times New Roman" w:hAnsi="Times New Roman" w:eastAsia="宋体" w:cs="Times New Roman"/>
          <w:color w:val="auto"/>
          <w:sz w:val="28"/>
          <w:szCs w:val="28"/>
          <w:highlight w:val="none"/>
          <w:lang w:eastAsia="zh-CN"/>
        </w:rPr>
      </w:pPr>
      <w:r>
        <w:rPr>
          <w:rFonts w:hint="default" w:ascii="Times New Roman" w:hAnsi="Times New Roman" w:eastAsia="宋体" w:cs="Times New Roman"/>
          <w:b/>
          <w:bCs/>
          <w:color w:val="auto"/>
          <w:sz w:val="28"/>
          <w:szCs w:val="28"/>
          <w:highlight w:val="none"/>
          <w:lang w:eastAsia="zh-CN"/>
        </w:rPr>
        <w:t>（一）服务内容与要求</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1.供应商需围绕传统文化振兴，重点依托七夕、中秋、国庆、重阳等重要节庆节日，联合不同新时代文明实践中心开展不少于10场“我在文明实践中心过佳节”主题活动，以群众喜闻乐见的形式传播传统文化，营造浓厚节日文明氛围。具体要求如下：</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1）10场活动中至少有2场示范活动，每场示范活动要求设置不少于4个群众性宣传宣讲环节，组织不少于10个“文明集市互动摊位”面向群众开展便民服务；常规活动要求设置不少于2个群众性宣传宣讲环节，组织不少于6个“文明集市互动摊位”面向群众开展便民服务；</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（2）全权负责协调提供活动场地，负责群众组织发动；</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（3）全权负责活动现场布置、营造氛围；</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（4）活动中至少配备1名专业摄像人员跟拍活动，留存完整活动影像素材；</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2.供应商在项目执行中，全权负责开展项目宣传。具体要求如下：</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（1）产出新媒体宣传产品不少于4个、推文不少于4条，其中单条传播量达到10万以上宣传产品不少于1个、单条传播量达到1万以上宣传产品不少于2个；</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（2）在中央和省级媒体宣传各不少于4条。</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3.供应商应组建专门的服务团队负责本项目的管理与实施，且</w:t>
      </w:r>
      <w:r>
        <w:rPr>
          <w:rFonts w:hint="default" w:ascii="Times New Roman" w:hAnsi="Times New Roman" w:eastAsia="宋体" w:cs="Times New Roman"/>
          <w:color w:val="auto"/>
          <w:sz w:val="28"/>
          <w:szCs w:val="28"/>
          <w:highlight w:val="none"/>
          <w:lang w:val="en-US" w:eastAsia="zh-CN"/>
        </w:rPr>
        <w:t>在项目策划、组织、结项期间，要根据采购人需求，派驻专人到指定地点办公。</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4.供应商须为本项目每场活动配套足额安全责任保险，并对合同履约期间所发生的一切安全事故承担责任（如因供应商工作人员在履行职务过程中的疏忽、失职、过错等故意或者过失原因造成财产损失、人身事故，由此而导致的采购人对任何第三方的法律责任等，供应商对此均应承担全部的赔偿责任。）</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5.供应商成交后应继续深化优化方案直到符合采购人要求，待采购人确认执行方案后再执行。</w:t>
      </w:r>
    </w:p>
    <w:p>
      <w:pPr>
        <w:keepNext w:val="0"/>
        <w:keepLines w:val="0"/>
        <w:pageBreakBefore w:val="0"/>
        <w:widowControl w:val="0"/>
        <w:shd w:val="clear" w:color="auto" w:fill="auto"/>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6.供应商服务本项目过程中产生的影像、图片、文字等与项目实施相关的资料，其知识产权归采购人所有，成交供应商无条件提供底稿。</w:t>
      </w:r>
    </w:p>
    <w:p>
      <w:pPr>
        <w:keepNext w:val="0"/>
        <w:keepLines w:val="0"/>
        <w:pageBreakBefore w:val="0"/>
        <w:kinsoku/>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bCs w:val="0"/>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7.供应商需在项目执行结束后，及时向采购人提交结项报告，并将活动开展相关的所有资料（包括文字、高清影像、高清图片等资料）进行有条理的归纳和整理，影像资料需按采购人要求进行剪辑制作，资料需统一移交给采购人。</w:t>
      </w:r>
      <w:r>
        <w:rPr>
          <w:rFonts w:hint="default" w:ascii="Times New Roman" w:hAnsi="Times New Roman" w:eastAsia="宋体" w:cs="Times New Roman"/>
          <w:b/>
          <w:bCs w:val="0"/>
          <w:color w:val="000000"/>
          <w:kern w:val="0"/>
          <w:sz w:val="28"/>
          <w:szCs w:val="28"/>
          <w:highlight w:val="none"/>
          <w:lang w:val="en-US" w:eastAsia="zh-CN"/>
        </w:rPr>
        <w:t xml:space="preserve">    </w:t>
      </w:r>
    </w:p>
    <w:p>
      <w:pPr>
        <w:keepNext w:val="0"/>
        <w:keepLines w:val="0"/>
        <w:pageBreakBefore w:val="0"/>
        <w:kinsoku/>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p>
    <w:p>
      <w:pPr>
        <w:pStyle w:val="6"/>
        <w:keepNext w:val="0"/>
        <w:keepLines w:val="0"/>
        <w:pageBreakBefore w:val="0"/>
        <w:kinsoku/>
        <w:wordWrap/>
        <w:overflowPunct/>
        <w:topLinePunct w:val="0"/>
        <w:autoSpaceDE/>
        <w:autoSpaceDN/>
        <w:bidi w:val="0"/>
        <w:adjustRightInd/>
        <w:snapToGrid/>
        <w:spacing w:line="440" w:lineRule="exact"/>
        <w:ind w:firstLine="562" w:firstLineChars="200"/>
        <w:jc w:val="left"/>
        <w:textAlignment w:val="auto"/>
        <w:rPr>
          <w:rFonts w:hint="default" w:ascii="Times New Roman" w:hAnsi="Times New Roman" w:eastAsia="宋体" w:cs="Times New Roman"/>
          <w:b/>
          <w:bCs w:val="0"/>
          <w:color w:val="000000"/>
          <w:kern w:val="0"/>
          <w:sz w:val="28"/>
          <w:szCs w:val="28"/>
          <w:highlight w:val="none"/>
          <w:lang w:val="en-US" w:eastAsia="zh-CN" w:bidi="ar-SA"/>
        </w:rPr>
      </w:pPr>
    </w:p>
    <w:p>
      <w:pPr>
        <w:pStyle w:val="6"/>
        <w:keepNext w:val="0"/>
        <w:keepLines w:val="0"/>
        <w:pageBreakBefore w:val="0"/>
        <w:kinsoku/>
        <w:wordWrap/>
        <w:overflowPunct/>
        <w:topLinePunct w:val="0"/>
        <w:autoSpaceDE/>
        <w:autoSpaceDN/>
        <w:bidi w:val="0"/>
        <w:adjustRightInd/>
        <w:snapToGrid/>
        <w:spacing w:line="440" w:lineRule="exact"/>
        <w:ind w:firstLine="562" w:firstLineChars="200"/>
        <w:jc w:val="left"/>
        <w:textAlignment w:val="auto"/>
        <w:rPr>
          <w:rFonts w:hint="default" w:ascii="Times New Roman" w:hAnsi="Times New Roman" w:eastAsia="宋体" w:cs="Times New Roman"/>
          <w:b/>
          <w:bCs/>
          <w:color w:val="auto"/>
          <w:sz w:val="28"/>
          <w:szCs w:val="28"/>
          <w:highlight w:val="none"/>
          <w:lang w:val="en-US" w:eastAsia="zh-CN"/>
        </w:rPr>
      </w:pPr>
      <w:r>
        <w:rPr>
          <w:rFonts w:hint="default" w:ascii="Times New Roman" w:hAnsi="Times New Roman" w:eastAsia="宋体" w:cs="Times New Roman"/>
          <w:b/>
          <w:bCs w:val="0"/>
          <w:color w:val="000000"/>
          <w:kern w:val="0"/>
          <w:sz w:val="28"/>
          <w:szCs w:val="28"/>
          <w:highlight w:val="none"/>
          <w:lang w:val="en-US" w:eastAsia="zh-CN" w:bidi="ar-SA"/>
        </w:rPr>
        <w:t>包</w:t>
      </w:r>
      <w:r>
        <w:rPr>
          <w:rFonts w:hint="default" w:ascii="Times New Roman" w:hAnsi="Times New Roman" w:eastAsia="宋体" w:cs="Times New Roman"/>
          <w:b/>
          <w:bCs w:val="0"/>
          <w:color w:val="auto"/>
          <w:sz w:val="28"/>
          <w:szCs w:val="28"/>
          <w:highlight w:val="none"/>
          <w:lang w:val="en-US" w:eastAsia="zh-CN"/>
        </w:rPr>
        <w:t>5:</w:t>
      </w:r>
      <w:r>
        <w:rPr>
          <w:rFonts w:hint="default" w:ascii="Times New Roman" w:hAnsi="Times New Roman" w:eastAsia="宋体" w:cs="Times New Roman"/>
          <w:b/>
          <w:bCs w:val="0"/>
          <w:color w:val="333333"/>
          <w:sz w:val="28"/>
          <w:szCs w:val="28"/>
          <w:highlight w:val="none"/>
          <w:lang w:val="en-US" w:eastAsia="zh-CN"/>
        </w:rPr>
        <w:t>文明行为实践倡导活动</w:t>
      </w:r>
    </w:p>
    <w:p>
      <w:pPr>
        <w:pStyle w:val="6"/>
        <w:keepNext w:val="0"/>
        <w:keepLines w:val="0"/>
        <w:pageBreakBefore w:val="0"/>
        <w:kinsoku/>
        <w:wordWrap/>
        <w:overflowPunct/>
        <w:topLinePunct w:val="0"/>
        <w:autoSpaceDE/>
        <w:autoSpaceDN/>
        <w:bidi w:val="0"/>
        <w:adjustRightInd/>
        <w:snapToGrid/>
        <w:spacing w:line="440" w:lineRule="exact"/>
        <w:ind w:firstLine="562" w:firstLineChars="200"/>
        <w:jc w:val="left"/>
        <w:textAlignment w:val="auto"/>
        <w:rPr>
          <w:rFonts w:hint="default" w:ascii="Times New Roman" w:hAnsi="Times New Roman" w:eastAsia="宋体" w:cs="Times New Roman"/>
          <w:color w:val="auto"/>
          <w:sz w:val="28"/>
          <w:szCs w:val="28"/>
          <w:highlight w:val="none"/>
          <w:lang w:eastAsia="zh-CN"/>
        </w:rPr>
      </w:pPr>
      <w:r>
        <w:rPr>
          <w:rFonts w:hint="default" w:ascii="Times New Roman" w:hAnsi="Times New Roman" w:eastAsia="宋体" w:cs="Times New Roman"/>
          <w:b/>
          <w:bCs/>
          <w:color w:val="auto"/>
          <w:sz w:val="28"/>
          <w:szCs w:val="28"/>
          <w:highlight w:val="none"/>
          <w:lang w:eastAsia="zh-CN"/>
        </w:rPr>
        <w:t>（一）服务内容与要求</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1.联动相关行业主管部门，围绕文明交通、文明餐桌、文明旅游、文明养宠、垃圾分类等主题，在城市地标（点位）以及“菜市书屋”等生活场景，策划开展文明行为实践倡导活动，引导市民群众广泛践行文明行为，涵养浓厚的文明风尚。具体要求如下：</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（1）组织开展不少于20场文明行为实践倡导活动，其中示范活动至少有6场</w:t>
      </w:r>
      <w:r>
        <w:rPr>
          <w:rFonts w:hint="default" w:ascii="Times New Roman" w:hAnsi="Times New Roman" w:eastAsia="宋体" w:cs="Times New Roman"/>
          <w:b w:val="0"/>
          <w:bCs/>
          <w:color w:val="auto"/>
          <w:kern w:val="0"/>
          <w:sz w:val="28"/>
          <w:szCs w:val="2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（2）全权负责活动的筹备组织、氛围营造、协调发动、宣传推广等。</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2.在项目执行中，全权负责开展项目宣传。具体要求如下：</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（1）产出新媒体宣传产品（推文或视频）不少于20个，其中单条传播量达到10万以上宣传产品不少于1个，单条传播量达到1万以上宣传产品不少于5个。</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（2）新媒体宣传产品（推文或视频）在中央和省级媒体宣传各不少于5条。</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3.负责活动的整体策划执行工作。负责活动的策划、组织、协调；场地租赁、相关设备租赁；人员服务以及其它相关活动服务等。包括但不限于活动音控台技术操作、人员执行、嘉宾邀请；场地设计搭建，提供活动场地及灯光、音响等设备；相关物料设计；活动音视频素材制作；负责活动期间的全部服务保障工作。</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4.供应商应组建专门的服务团队，负责本项目全程实施、管理、对接与落地工作。</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5.供应商须为本项目每场活动配套足额安全责任保险，并且对合同履约期间所发生的一切安全事故承担责任（如因供应商工作人员在履行职务过程中的疏忽、失职、过错等故意或者过失原因造成财产损失、人身事故，由此而导致的采购人对任何第三方的法律责任等，供应商对此均应承担全部的赔偿责任。）</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6.供应商成交后应继续深化优化方案直到符合采购人要求，待采购人确认执行方案后再执行。</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r>
        <w:rPr>
          <w:rFonts w:hint="default" w:ascii="Times New Roman" w:hAnsi="Times New Roman" w:eastAsia="宋体" w:cs="Times New Roman"/>
          <w:b w:val="0"/>
          <w:bCs/>
          <w:color w:val="000000"/>
          <w:kern w:val="0"/>
          <w:sz w:val="28"/>
          <w:szCs w:val="28"/>
          <w:highlight w:val="none"/>
          <w:lang w:val="en-US" w:eastAsia="zh-CN"/>
        </w:rPr>
        <w:t>7.本项目知识产权归属采购人，项目服务过程中所涉及的所有信息资料和成果资料的所有权均归采购人所有（包括采购人提供以及供应商自行收集的）；供应商对服务过程中涉及的所有信息资料负有保密义务，未经采购人同意供应商不得将信息资料透露给第三方，否则采购人有权追究其法律责任；供应商应保证在本项目中所提供的任何一部分相关技术资料和成果资料，均不会产生因第三方提出侵犯其著作权、专利权、商标权或其它知识产权而引起的法律和经济纠纷。如因著作权、专利权、商标权而引起法律和经济纠纷，由供应商承担所有相关责任。</w:t>
      </w:r>
    </w:p>
    <w:p>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宋体" w:cs="Times New Roman"/>
          <w:b/>
          <w:bCs w:val="0"/>
          <w:sz w:val="28"/>
          <w:szCs w:val="28"/>
          <w:highlight w:val="none"/>
          <w:lang w:eastAsia="zh-CN"/>
        </w:rPr>
      </w:pPr>
      <w:r>
        <w:rPr>
          <w:rFonts w:hint="default" w:ascii="Times New Roman" w:hAnsi="Times New Roman" w:eastAsia="宋体" w:cs="Times New Roman"/>
          <w:b w:val="0"/>
          <w:bCs/>
          <w:color w:val="000000"/>
          <w:kern w:val="0"/>
          <w:sz w:val="28"/>
          <w:szCs w:val="28"/>
          <w:highlight w:val="none"/>
          <w:lang w:val="en-US" w:eastAsia="zh-CN"/>
        </w:rPr>
        <w:t>8.供应商需在项目执行结束后，及时向采购人提交结项报告，并将活动开展相关的所有资料（包括文字、高清影像、高清图片等资料）进行有条理的归纳和整理，影像资料需按采购人要求进行剪辑制作，资料需统一移交给采购人。</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 w:val="0"/>
          <w:bCs/>
          <w:color w:val="000000"/>
          <w:kern w:val="0"/>
          <w:sz w:val="28"/>
          <w:szCs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default" w:ascii="Times New Roman" w:hAnsi="Times New Roman" w:eastAsia="宋体" w:cs="Times New Roman"/>
          <w:b/>
          <w:bCs w:val="0"/>
          <w:sz w:val="28"/>
          <w:szCs w:val="28"/>
          <w:highlight w:val="none"/>
        </w:rPr>
      </w:pPr>
      <w:r>
        <w:rPr>
          <w:rFonts w:hint="default" w:ascii="Times New Roman" w:hAnsi="Times New Roman" w:eastAsia="宋体" w:cs="Times New Roman"/>
          <w:b/>
          <w:bCs w:val="0"/>
          <w:sz w:val="28"/>
          <w:szCs w:val="28"/>
          <w:highlight w:val="none"/>
        </w:rPr>
        <w:t>六、商务要求</w:t>
      </w:r>
      <w:r>
        <w:rPr>
          <w:rFonts w:hint="default" w:ascii="Times New Roman" w:hAnsi="Times New Roman" w:eastAsia="宋体" w:cs="Times New Roman"/>
          <w:b/>
          <w:bCs w:val="0"/>
          <w:sz w:val="28"/>
          <w:szCs w:val="28"/>
          <w:highlight w:val="none"/>
          <w:lang w:eastAsia="zh-CN"/>
        </w:rPr>
        <w:t>（</w:t>
      </w:r>
      <w:r>
        <w:rPr>
          <w:rFonts w:hint="default" w:ascii="Times New Roman" w:hAnsi="Times New Roman" w:eastAsia="宋体" w:cs="Times New Roman"/>
          <w:b/>
          <w:bCs w:val="0"/>
          <w:sz w:val="28"/>
          <w:szCs w:val="28"/>
          <w:highlight w:val="none"/>
          <w:lang w:val="en-US" w:eastAsia="zh-CN"/>
        </w:rPr>
        <w:t>未明确列明包号的各包均适用</w:t>
      </w:r>
      <w:r>
        <w:rPr>
          <w:rFonts w:hint="default" w:ascii="Times New Roman" w:hAnsi="Times New Roman" w:eastAsia="宋体" w:cs="Times New Roman"/>
          <w:b/>
          <w:bCs w:val="0"/>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default" w:ascii="Times New Roman" w:hAnsi="Times New Roman" w:eastAsia="宋体" w:cs="Times New Roman"/>
          <w:b/>
          <w:bCs w:val="0"/>
          <w:sz w:val="28"/>
          <w:szCs w:val="28"/>
          <w:highlight w:val="none"/>
          <w:lang w:val="en-US" w:eastAsia="zh-CN"/>
        </w:rPr>
      </w:pPr>
      <w:r>
        <w:rPr>
          <w:rFonts w:hint="default" w:ascii="Times New Roman" w:hAnsi="Times New Roman" w:eastAsia="宋体" w:cs="Times New Roman"/>
          <w:b/>
          <w:bCs w:val="0"/>
          <w:sz w:val="28"/>
          <w:szCs w:val="28"/>
          <w:highlight w:val="none"/>
          <w:lang w:val="en-US" w:eastAsia="zh-CN"/>
        </w:rPr>
        <w:t>（一）服务期限：</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default" w:ascii="Times New Roman" w:hAnsi="Times New Roman" w:eastAsia="宋体" w:cs="Times New Roman"/>
          <w:b/>
          <w:bCs w:val="0"/>
          <w:sz w:val="28"/>
          <w:szCs w:val="28"/>
          <w:highlight w:val="none"/>
          <w:lang w:val="en-US" w:eastAsia="zh-CN"/>
        </w:rPr>
      </w:pPr>
      <w:r>
        <w:rPr>
          <w:rFonts w:hint="default" w:ascii="Times New Roman" w:hAnsi="Times New Roman" w:eastAsia="宋体" w:cs="Times New Roman"/>
          <w:b/>
          <w:bCs w:val="0"/>
          <w:sz w:val="28"/>
          <w:szCs w:val="28"/>
          <w:highlight w:val="none"/>
          <w:lang w:val="en-US" w:eastAsia="zh-CN"/>
        </w:rPr>
        <w:t>包1：合同签订之日起至2026年12月1日前。</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default" w:ascii="Times New Roman" w:hAnsi="Times New Roman" w:eastAsia="宋体" w:cs="Times New Roman"/>
          <w:b/>
          <w:bCs w:val="0"/>
          <w:sz w:val="28"/>
          <w:szCs w:val="28"/>
          <w:highlight w:val="none"/>
          <w:lang w:val="en-US" w:eastAsia="zh-CN"/>
        </w:rPr>
      </w:pPr>
      <w:r>
        <w:rPr>
          <w:rFonts w:hint="default" w:ascii="Times New Roman" w:hAnsi="Times New Roman" w:eastAsia="宋体" w:cs="Times New Roman"/>
          <w:b/>
          <w:bCs w:val="0"/>
          <w:sz w:val="28"/>
          <w:szCs w:val="28"/>
          <w:highlight w:val="none"/>
          <w:lang w:val="en-US" w:eastAsia="zh-CN"/>
        </w:rPr>
        <w:t>包2：合同签订之日起至2026年12月1日前。</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default" w:ascii="Times New Roman" w:hAnsi="Times New Roman" w:eastAsia="宋体" w:cs="Times New Roman"/>
          <w:b/>
          <w:bCs w:val="0"/>
          <w:sz w:val="28"/>
          <w:szCs w:val="28"/>
          <w:highlight w:val="none"/>
          <w:lang w:val="en-US" w:eastAsia="zh-CN"/>
        </w:rPr>
      </w:pPr>
      <w:r>
        <w:rPr>
          <w:rFonts w:hint="default" w:ascii="Times New Roman" w:hAnsi="Times New Roman" w:eastAsia="宋体" w:cs="Times New Roman"/>
          <w:b/>
          <w:bCs w:val="0"/>
          <w:sz w:val="28"/>
          <w:szCs w:val="28"/>
          <w:highlight w:val="none"/>
          <w:lang w:val="en-US" w:eastAsia="zh-CN"/>
        </w:rPr>
        <w:t>包3：合同签订之日起至2026年12月1日前。</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default" w:ascii="Times New Roman" w:hAnsi="Times New Roman" w:eastAsia="宋体" w:cs="Times New Roman"/>
          <w:b/>
          <w:bCs w:val="0"/>
          <w:sz w:val="28"/>
          <w:szCs w:val="28"/>
          <w:highlight w:val="none"/>
          <w:lang w:val="en-US" w:eastAsia="zh-CN"/>
        </w:rPr>
      </w:pPr>
      <w:r>
        <w:rPr>
          <w:rFonts w:hint="default" w:ascii="Times New Roman" w:hAnsi="Times New Roman" w:eastAsia="宋体" w:cs="Times New Roman"/>
          <w:b/>
          <w:bCs w:val="0"/>
          <w:sz w:val="28"/>
          <w:szCs w:val="28"/>
          <w:highlight w:val="none"/>
          <w:lang w:val="en-US" w:eastAsia="zh-CN"/>
        </w:rPr>
        <w:t>包4：合同签订之日起至2026年12月1日前。</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default" w:ascii="Times New Roman" w:hAnsi="Times New Roman" w:eastAsia="宋体" w:cs="Times New Roman"/>
          <w:b/>
          <w:bCs w:val="0"/>
          <w:sz w:val="28"/>
          <w:szCs w:val="28"/>
          <w:highlight w:val="none"/>
          <w:lang w:val="en-US" w:eastAsia="zh-CN"/>
        </w:rPr>
      </w:pPr>
      <w:r>
        <w:rPr>
          <w:rFonts w:hint="default" w:ascii="Times New Roman" w:hAnsi="Times New Roman" w:eastAsia="宋体" w:cs="Times New Roman"/>
          <w:b/>
          <w:bCs w:val="0"/>
          <w:sz w:val="28"/>
          <w:szCs w:val="28"/>
          <w:highlight w:val="none"/>
          <w:lang w:val="en-US" w:eastAsia="zh-CN"/>
        </w:rPr>
        <w:t>包5：合同签订之日起至2026年12月1日前。</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default" w:ascii="Times New Roman" w:hAnsi="Times New Roman" w:eastAsia="宋体" w:cs="Times New Roman"/>
          <w:bCs/>
          <w:sz w:val="28"/>
          <w:szCs w:val="28"/>
          <w:highlight w:val="none"/>
          <w:lang w:val="en-US" w:eastAsia="zh-CN"/>
        </w:rPr>
      </w:pPr>
      <w:r>
        <w:rPr>
          <w:rFonts w:hint="default" w:ascii="Times New Roman" w:hAnsi="Times New Roman" w:eastAsia="宋体" w:cs="Times New Roman"/>
          <w:b/>
          <w:bCs w:val="0"/>
          <w:sz w:val="28"/>
          <w:szCs w:val="28"/>
          <w:highlight w:val="none"/>
          <w:lang w:val="en-US" w:eastAsia="zh-CN"/>
        </w:rPr>
        <w:t>（二）付款方式：</w:t>
      </w:r>
      <w:r>
        <w:rPr>
          <w:rFonts w:hint="default" w:ascii="Times New Roman" w:hAnsi="Times New Roman" w:eastAsia="宋体" w:cs="Times New Roman"/>
          <w:bCs/>
          <w:sz w:val="28"/>
          <w:szCs w:val="28"/>
          <w:highlight w:val="none"/>
          <w:lang w:val="en-US" w:eastAsia="zh-CN"/>
        </w:rPr>
        <w:t>合同签订后10个工作日内,采购人支付成交供应商合同金额的70%；完成合同约定全部内容经</w:t>
      </w:r>
      <w:r>
        <w:rPr>
          <w:rFonts w:hint="default" w:ascii="Times New Roman" w:hAnsi="Times New Roman" w:eastAsia="宋体" w:cs="Times New Roman"/>
          <w:bCs/>
          <w:color w:val="auto"/>
          <w:sz w:val="28"/>
          <w:szCs w:val="28"/>
          <w:highlight w:val="none"/>
          <w:lang w:val="en-US" w:eastAsia="zh-CN"/>
        </w:rPr>
        <w:t>采购人</w:t>
      </w:r>
      <w:r>
        <w:rPr>
          <w:rFonts w:hint="default" w:ascii="Times New Roman" w:hAnsi="Times New Roman" w:eastAsia="宋体" w:cs="Times New Roman"/>
          <w:bCs/>
          <w:sz w:val="28"/>
          <w:szCs w:val="28"/>
          <w:highlight w:val="none"/>
          <w:lang w:val="en-US" w:eastAsia="zh-CN"/>
        </w:rPr>
        <w:t>验收合格后10个工作日内，采购人支付成交供应商合同金额的30%。（每次付款前供应商需提交等额票据）</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default" w:ascii="Times New Roman" w:hAnsi="Times New Roman" w:eastAsia="宋体" w:cs="Times New Roman"/>
          <w:bCs/>
          <w:sz w:val="28"/>
          <w:szCs w:val="28"/>
          <w:highlight w:val="none"/>
          <w:lang w:val="en-US" w:eastAsia="zh-CN"/>
        </w:rPr>
      </w:pPr>
      <w:r>
        <w:rPr>
          <w:rFonts w:hint="default" w:ascii="Times New Roman" w:hAnsi="Times New Roman" w:eastAsia="宋体" w:cs="Times New Roman"/>
          <w:b/>
          <w:bCs w:val="0"/>
          <w:sz w:val="28"/>
          <w:szCs w:val="28"/>
          <w:highlight w:val="none"/>
          <w:lang w:val="en-US" w:eastAsia="zh-CN"/>
        </w:rPr>
        <w:t>（三）服务地点：</w:t>
      </w:r>
      <w:r>
        <w:rPr>
          <w:rFonts w:hint="default" w:ascii="Times New Roman" w:hAnsi="Times New Roman" w:eastAsia="宋体" w:cs="Times New Roman"/>
          <w:bCs/>
          <w:sz w:val="28"/>
          <w:szCs w:val="28"/>
          <w:highlight w:val="none"/>
          <w:lang w:val="en-US" w:eastAsia="zh-CN"/>
        </w:rPr>
        <w:t>成都市。</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default" w:ascii="Times New Roman" w:hAnsi="Times New Roman" w:eastAsia="宋体" w:cs="Times New Roman"/>
          <w:b/>
          <w:bCs w:val="0"/>
          <w:sz w:val="28"/>
          <w:szCs w:val="28"/>
          <w:highlight w:val="none"/>
          <w:lang w:val="en-US" w:eastAsia="zh-CN"/>
        </w:rPr>
      </w:pPr>
      <w:r>
        <w:rPr>
          <w:rFonts w:hint="default" w:ascii="Times New Roman" w:hAnsi="Times New Roman" w:eastAsia="宋体" w:cs="Times New Roman"/>
          <w:b/>
          <w:bCs w:val="0"/>
          <w:sz w:val="28"/>
          <w:szCs w:val="28"/>
          <w:highlight w:val="none"/>
          <w:lang w:val="en-US" w:eastAsia="zh-CN"/>
        </w:rPr>
        <w:t>（四）违约责任及解决争议的方法：</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Cs/>
          <w:sz w:val="28"/>
          <w:szCs w:val="28"/>
          <w:highlight w:val="none"/>
          <w:lang w:val="en-US" w:eastAsia="zh-CN"/>
        </w:rPr>
      </w:pPr>
      <w:r>
        <w:rPr>
          <w:rFonts w:hint="default" w:ascii="Times New Roman" w:hAnsi="Times New Roman" w:eastAsia="宋体" w:cs="Times New Roman"/>
          <w:bCs/>
          <w:sz w:val="28"/>
          <w:szCs w:val="28"/>
          <w:highlight w:val="none"/>
          <w:lang w:val="en-US" w:eastAsia="zh-CN"/>
        </w:rPr>
        <w:t>1.甲乙双方必须遵守本协议并执行协议中的各项约定，保证本协议的正常履行除本协议另有约定外，任何一方不履行或者履行义务达不到本协议约定的，视为违约，违约方须向对方一次性支付协议总金额的20%作为违约金。</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Cs/>
          <w:sz w:val="28"/>
          <w:szCs w:val="28"/>
          <w:highlight w:val="none"/>
          <w:lang w:val="en-US" w:eastAsia="zh-CN"/>
        </w:rPr>
      </w:pPr>
      <w:r>
        <w:rPr>
          <w:rFonts w:hint="default" w:ascii="Times New Roman" w:hAnsi="Times New Roman" w:eastAsia="宋体" w:cs="Times New Roman"/>
          <w:bCs/>
          <w:sz w:val="28"/>
          <w:szCs w:val="28"/>
          <w:highlight w:val="none"/>
          <w:lang w:val="en-US" w:eastAsia="zh-CN"/>
        </w:rPr>
        <w:t>2.甲方违约责任</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Cs/>
          <w:sz w:val="28"/>
          <w:szCs w:val="28"/>
          <w:highlight w:val="none"/>
          <w:lang w:val="en-US" w:eastAsia="zh-CN"/>
        </w:rPr>
      </w:pPr>
      <w:r>
        <w:rPr>
          <w:rFonts w:hint="default" w:ascii="Times New Roman" w:hAnsi="Times New Roman" w:eastAsia="宋体" w:cs="Times New Roman"/>
          <w:bCs/>
          <w:sz w:val="28"/>
          <w:szCs w:val="28"/>
          <w:highlight w:val="none"/>
          <w:lang w:val="en-US" w:eastAsia="zh-CN"/>
        </w:rPr>
        <w:t>（1）甲方无正当理由导致变更、中止或者终止政府采购合同的，甲方应对乙方已开展合同事务所产生的实际支出进行赔偿，乙方需提供具体支出凭证供甲方审核确认；</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Cs/>
          <w:sz w:val="28"/>
          <w:szCs w:val="28"/>
          <w:highlight w:val="none"/>
          <w:lang w:val="en-US" w:eastAsia="zh-CN"/>
        </w:rPr>
      </w:pPr>
      <w:r>
        <w:rPr>
          <w:rFonts w:hint="default" w:ascii="Times New Roman" w:hAnsi="Times New Roman" w:eastAsia="宋体" w:cs="Times New Roman"/>
          <w:bCs/>
          <w:sz w:val="28"/>
          <w:szCs w:val="28"/>
          <w:highlight w:val="none"/>
          <w:lang w:val="en-US" w:eastAsia="zh-CN"/>
        </w:rPr>
        <w:t>（2）甲方未按时向乙方支付协议服务费用的，每逾期一日，应当向乙方支付未付服务费用总金额【0.01】%的逾期违约金；逾期达【30】日，乙方有权单方面解除协议，并要求甲方支付协议总金额【10】%的违约金。甲方已支付的费用，乙方有权不予退还。违约金不足以弥补乙方损失的，乙方有权要求甲方补足。</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Cs/>
          <w:sz w:val="28"/>
          <w:szCs w:val="28"/>
          <w:highlight w:val="none"/>
          <w:lang w:val="en-US" w:eastAsia="zh-CN"/>
        </w:rPr>
      </w:pPr>
      <w:r>
        <w:rPr>
          <w:rFonts w:hint="default" w:ascii="Times New Roman" w:hAnsi="Times New Roman" w:eastAsia="宋体" w:cs="Times New Roman"/>
          <w:bCs/>
          <w:sz w:val="28"/>
          <w:szCs w:val="28"/>
          <w:highlight w:val="none"/>
          <w:lang w:val="en-US" w:eastAsia="zh-CN"/>
        </w:rPr>
        <w:t>（3）甲方偿付的违约金不足以弥补乙方损失的，还应按乙方损失尚未弥补的部分，支付赔偿金给乙方。乙方主张的损失应以实际发生、合理、必要并经甲方书面认可为限。</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Cs/>
          <w:sz w:val="28"/>
          <w:szCs w:val="28"/>
          <w:highlight w:val="none"/>
          <w:lang w:val="en-US" w:eastAsia="zh-CN"/>
        </w:rPr>
      </w:pPr>
      <w:r>
        <w:rPr>
          <w:rFonts w:hint="default" w:ascii="Times New Roman" w:hAnsi="Times New Roman" w:eastAsia="宋体" w:cs="Times New Roman"/>
          <w:bCs/>
          <w:sz w:val="28"/>
          <w:szCs w:val="28"/>
          <w:highlight w:val="none"/>
          <w:lang w:val="en-US" w:eastAsia="zh-CN"/>
        </w:rPr>
        <w:t>3.乙方违约责任</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Cs/>
          <w:sz w:val="28"/>
          <w:szCs w:val="28"/>
          <w:highlight w:val="none"/>
          <w:lang w:val="en-US" w:eastAsia="zh-CN"/>
        </w:rPr>
      </w:pPr>
      <w:r>
        <w:rPr>
          <w:rFonts w:hint="default" w:ascii="Times New Roman" w:hAnsi="Times New Roman" w:eastAsia="宋体" w:cs="Times New Roman"/>
          <w:bCs/>
          <w:sz w:val="28"/>
          <w:szCs w:val="28"/>
          <w:highlight w:val="none"/>
          <w:lang w:val="en-US" w:eastAsia="zh-CN"/>
        </w:rPr>
        <w:t>（1）乙方所提供的服务有不符合磋商文件及响应文件约定及本项目合同约定的，乙方应向甲方支付违约金，并须在甲方规定的整改期限内改正，否则视作乙方不能履约而违约。</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Cs/>
          <w:sz w:val="28"/>
          <w:szCs w:val="28"/>
          <w:highlight w:val="none"/>
          <w:lang w:val="en-US" w:eastAsia="zh-CN"/>
        </w:rPr>
      </w:pPr>
      <w:r>
        <w:rPr>
          <w:rFonts w:hint="default" w:ascii="Times New Roman" w:hAnsi="Times New Roman" w:eastAsia="宋体" w:cs="Times New Roman"/>
          <w:bCs/>
          <w:sz w:val="28"/>
          <w:szCs w:val="28"/>
          <w:highlight w:val="none"/>
          <w:lang w:val="en-US" w:eastAsia="zh-CN"/>
        </w:rPr>
        <w:t>（2）乙方无正当理由逾期完成服务或未整改到位的，每逾期一日，乙方应当按照本合同服务费用总额的【0.01】%支付违约金。逾期超过【30】日，甲方有权解除本合同，乙方按照协议总金额的【10】%向甲方承担违约责任。</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Cs/>
          <w:sz w:val="28"/>
          <w:szCs w:val="28"/>
          <w:highlight w:val="none"/>
          <w:lang w:val="en-US" w:eastAsia="zh-CN"/>
        </w:rPr>
      </w:pPr>
      <w:r>
        <w:rPr>
          <w:rFonts w:hint="default" w:ascii="Times New Roman" w:hAnsi="Times New Roman" w:eastAsia="宋体" w:cs="Times New Roman"/>
          <w:bCs/>
          <w:sz w:val="28"/>
          <w:szCs w:val="28"/>
          <w:highlight w:val="none"/>
          <w:lang w:val="en-US" w:eastAsia="zh-CN"/>
        </w:rPr>
        <w:t>（3）乙方偿付的违约金不足以弥补甲方损失的，还应按甲方损失尚未弥补的部分，支付赔偿金给甲方。</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Cs/>
          <w:sz w:val="28"/>
          <w:szCs w:val="28"/>
          <w:highlight w:val="none"/>
          <w:lang w:val="en-US" w:eastAsia="zh-CN"/>
        </w:rPr>
      </w:pPr>
      <w:r>
        <w:rPr>
          <w:rFonts w:hint="default" w:ascii="Times New Roman" w:hAnsi="Times New Roman" w:eastAsia="宋体" w:cs="Times New Roman"/>
          <w:bCs/>
          <w:sz w:val="28"/>
          <w:szCs w:val="28"/>
          <w:highlight w:val="none"/>
          <w:lang w:val="en-US" w:eastAsia="zh-CN"/>
        </w:rPr>
        <w:t>4.本协议任何一方若有违约行为，均应在收到对方通知后七个工作日内予以更正；逾期未能更正，另一方保留索赔的权利。</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Cs/>
          <w:sz w:val="28"/>
          <w:szCs w:val="28"/>
          <w:highlight w:val="none"/>
          <w:lang w:val="en-US" w:eastAsia="zh-CN"/>
        </w:rPr>
      </w:pPr>
      <w:r>
        <w:rPr>
          <w:rFonts w:hint="default" w:ascii="Times New Roman" w:hAnsi="Times New Roman" w:eastAsia="宋体" w:cs="Times New Roman"/>
          <w:bCs/>
          <w:sz w:val="28"/>
          <w:szCs w:val="28"/>
          <w:highlight w:val="none"/>
          <w:lang w:val="en-US" w:eastAsia="zh-CN"/>
        </w:rPr>
        <w:t>5.任何一方有证据表明对方已经、正在或将要违约的，可以中止履行本协议但应及时书面通知违约方：若对方继续不履行、履行不当或者其他违约行为，守约方除就其所有损失而获得违约方赔偿外，亦有权终止或解除合同。因一方违约造成另一方的实际损失超过上述违约金数额的，违约方应按实际损失予以赔偿。</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Cs/>
          <w:sz w:val="28"/>
          <w:szCs w:val="28"/>
          <w:highlight w:val="none"/>
          <w:lang w:val="en-US" w:eastAsia="zh-CN"/>
        </w:rPr>
      </w:pPr>
      <w:r>
        <w:rPr>
          <w:rFonts w:hint="default" w:ascii="Times New Roman" w:hAnsi="Times New Roman" w:eastAsia="宋体" w:cs="Times New Roman"/>
          <w:bCs/>
          <w:sz w:val="28"/>
          <w:szCs w:val="28"/>
          <w:highlight w:val="none"/>
          <w:lang w:val="en-US" w:eastAsia="zh-CN"/>
        </w:rPr>
        <w:t>6.甲方应及时、全面提供乙方所需资料，并保证其真实性、合法性，否则，甲方将承担全部责任，赔偿因此产生的所有损失。</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Cs/>
          <w:sz w:val="28"/>
          <w:szCs w:val="28"/>
          <w:highlight w:val="none"/>
          <w:lang w:val="en-US" w:eastAsia="zh-CN"/>
        </w:rPr>
      </w:pPr>
      <w:r>
        <w:rPr>
          <w:rFonts w:hint="default" w:ascii="Times New Roman" w:hAnsi="Times New Roman" w:eastAsia="宋体" w:cs="Times New Roman"/>
          <w:bCs/>
          <w:sz w:val="28"/>
          <w:szCs w:val="28"/>
          <w:highlight w:val="none"/>
          <w:lang w:val="en-US" w:eastAsia="zh-CN"/>
        </w:rPr>
        <w:t>7.活动实施中，非因乙方原因引起的任何事故（包含但不限于甲方及第三方人身损害、财产损失等），乙方不承担任何责任。</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lang w:val="en-US" w:eastAsia="zh-CN"/>
        </w:rPr>
      </w:pPr>
      <w:r>
        <w:rPr>
          <w:rFonts w:hint="default" w:ascii="Times New Roman" w:hAnsi="Times New Roman" w:eastAsia="宋体" w:cs="Times New Roman"/>
          <w:bCs/>
          <w:sz w:val="28"/>
          <w:szCs w:val="28"/>
          <w:highlight w:val="none"/>
          <w:lang w:val="en-US" w:eastAsia="zh-CN"/>
        </w:rPr>
        <w:t>8.守约方向违约方追究责任、要求赔偿或主张权利时，违约方应同时承担包括但不限于乙方支出的诉讼费、保全费、保全担保费、律师费、公证费、差旅费、公告费、执行费、他人的索赔费用等为解决争议而产生的全部费用。</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Cs/>
          <w:sz w:val="28"/>
          <w:szCs w:val="28"/>
          <w:highlight w:val="none"/>
          <w:lang w:val="en-US" w:eastAsia="zh-CN"/>
        </w:rPr>
      </w:pPr>
      <w:r>
        <w:rPr>
          <w:rFonts w:hint="default" w:ascii="Times New Roman" w:hAnsi="Times New Roman" w:eastAsia="宋体" w:cs="Times New Roman"/>
          <w:bCs/>
          <w:sz w:val="28"/>
          <w:szCs w:val="28"/>
          <w:highlight w:val="none"/>
          <w:lang w:val="en-US" w:eastAsia="zh-CN"/>
        </w:rPr>
        <w:t>具体以合同签订时双方约定为准。</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default" w:ascii="Times New Roman" w:hAnsi="Times New Roman" w:eastAsia="宋体" w:cs="Times New Roman"/>
          <w:bCs/>
          <w:sz w:val="28"/>
          <w:szCs w:val="28"/>
          <w:highlight w:val="none"/>
          <w:lang w:val="en-US" w:eastAsia="zh-CN"/>
        </w:rPr>
      </w:pPr>
      <w:r>
        <w:rPr>
          <w:rFonts w:hint="default" w:ascii="Times New Roman" w:hAnsi="Times New Roman" w:eastAsia="宋体" w:cs="Times New Roman"/>
          <w:b/>
          <w:bCs w:val="0"/>
          <w:sz w:val="28"/>
          <w:szCs w:val="28"/>
          <w:highlight w:val="none"/>
          <w:lang w:val="en-US" w:eastAsia="zh-CN"/>
        </w:rPr>
        <w:t>（五）验收标准和方法（各包都适用）</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Cs/>
          <w:sz w:val="28"/>
          <w:szCs w:val="28"/>
          <w:highlight w:val="none"/>
          <w:lang w:val="en-US" w:eastAsia="zh-CN"/>
        </w:rPr>
      </w:pPr>
      <w:r>
        <w:rPr>
          <w:rFonts w:hint="default" w:ascii="Times New Roman" w:hAnsi="Times New Roman" w:eastAsia="宋体" w:cs="Times New Roman"/>
          <w:bCs/>
          <w:sz w:val="28"/>
          <w:szCs w:val="28"/>
          <w:highlight w:val="none"/>
          <w:lang w:val="en-US" w:eastAsia="zh-CN"/>
        </w:rPr>
        <w:t>1、验收组织方式：</w:t>
      </w:r>
      <w:r>
        <w:rPr>
          <w:rFonts w:hint="default" w:ascii="Times New Roman" w:hAnsi="Times New Roman" w:eastAsia="宋体" w:cs="Times New Roman"/>
          <w:bCs/>
          <w:sz w:val="28"/>
          <w:szCs w:val="28"/>
          <w:highlight w:val="none"/>
          <w:lang w:val="en-US" w:eastAsia="zh-CN"/>
        </w:rPr>
        <w:sym w:font="Wingdings 2" w:char="00A3"/>
      </w:r>
      <w:r>
        <w:rPr>
          <w:rFonts w:hint="default" w:ascii="Times New Roman" w:hAnsi="Times New Roman" w:eastAsia="宋体" w:cs="Times New Roman"/>
          <w:bCs/>
          <w:sz w:val="28"/>
          <w:szCs w:val="28"/>
          <w:highlight w:val="none"/>
          <w:lang w:val="en-US" w:eastAsia="zh-CN"/>
        </w:rPr>
        <w:t xml:space="preserve">自行验收 </w:t>
      </w:r>
      <w:r>
        <w:rPr>
          <w:rFonts w:hint="default" w:ascii="Times New Roman" w:hAnsi="Times New Roman" w:eastAsia="宋体" w:cs="Times New Roman"/>
          <w:bCs/>
          <w:sz w:val="28"/>
          <w:szCs w:val="28"/>
          <w:highlight w:val="none"/>
          <w:lang w:val="en-US" w:eastAsia="zh-CN"/>
        </w:rPr>
        <w:sym w:font="Wingdings 2" w:char="0052"/>
      </w:r>
      <w:r>
        <w:rPr>
          <w:rFonts w:hint="default" w:ascii="Times New Roman" w:hAnsi="Times New Roman" w:eastAsia="宋体" w:cs="Times New Roman"/>
          <w:bCs/>
          <w:sz w:val="28"/>
          <w:szCs w:val="28"/>
          <w:highlight w:val="none"/>
          <w:lang w:val="en-US" w:eastAsia="zh-CN"/>
        </w:rPr>
        <w:t>委托代理机构验收</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Cs/>
          <w:sz w:val="28"/>
          <w:szCs w:val="28"/>
          <w:highlight w:val="none"/>
          <w:lang w:val="en-US" w:eastAsia="zh-CN"/>
        </w:rPr>
      </w:pPr>
      <w:r>
        <w:rPr>
          <w:rFonts w:hint="default" w:ascii="Times New Roman" w:hAnsi="Times New Roman" w:eastAsia="宋体" w:cs="Times New Roman"/>
          <w:bCs/>
          <w:sz w:val="28"/>
          <w:szCs w:val="28"/>
          <w:highlight w:val="none"/>
          <w:lang w:val="en-US" w:eastAsia="zh-CN"/>
        </w:rPr>
        <w:t>2、履约验收程序：</w:t>
      </w:r>
      <w:r>
        <w:rPr>
          <w:rFonts w:hint="default" w:ascii="Times New Roman" w:hAnsi="Times New Roman" w:eastAsia="宋体" w:cs="Times New Roman"/>
          <w:bCs/>
          <w:sz w:val="28"/>
          <w:szCs w:val="28"/>
          <w:highlight w:val="none"/>
          <w:lang w:val="en-US" w:eastAsia="zh-CN"/>
        </w:rPr>
        <w:sym w:font="Wingdings 2" w:char="0052"/>
      </w:r>
      <w:r>
        <w:rPr>
          <w:rFonts w:hint="default" w:ascii="Times New Roman" w:hAnsi="Times New Roman" w:eastAsia="宋体" w:cs="Times New Roman"/>
          <w:bCs/>
          <w:sz w:val="28"/>
          <w:szCs w:val="28"/>
          <w:highlight w:val="none"/>
          <w:lang w:val="en-US" w:eastAsia="zh-CN"/>
        </w:rPr>
        <w:t>一次性验收  □分段验收</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Cs/>
          <w:sz w:val="28"/>
          <w:szCs w:val="28"/>
          <w:highlight w:val="none"/>
          <w:lang w:val="en-US" w:eastAsia="zh-CN"/>
        </w:rPr>
      </w:pPr>
      <w:r>
        <w:rPr>
          <w:rFonts w:hint="default" w:ascii="Times New Roman" w:hAnsi="Times New Roman" w:eastAsia="宋体" w:cs="Times New Roman"/>
          <w:bCs/>
          <w:sz w:val="28"/>
          <w:szCs w:val="28"/>
          <w:highlight w:val="none"/>
          <w:lang w:val="en-US" w:eastAsia="zh-CN"/>
        </w:rPr>
        <w:t xml:space="preserve">3、是否邀请本项目的其他供应商：□是 </w:t>
      </w:r>
      <w:r>
        <w:rPr>
          <w:rFonts w:hint="default" w:ascii="Times New Roman" w:hAnsi="Times New Roman" w:eastAsia="宋体" w:cs="Times New Roman"/>
          <w:bCs/>
          <w:sz w:val="28"/>
          <w:szCs w:val="28"/>
          <w:highlight w:val="none"/>
          <w:lang w:val="en-US" w:eastAsia="zh-CN"/>
        </w:rPr>
        <w:sym w:font="Wingdings 2" w:char="0052"/>
      </w:r>
      <w:r>
        <w:rPr>
          <w:rFonts w:hint="default" w:ascii="Times New Roman" w:hAnsi="Times New Roman" w:eastAsia="宋体" w:cs="Times New Roman"/>
          <w:bCs/>
          <w:sz w:val="28"/>
          <w:szCs w:val="28"/>
          <w:highlight w:val="none"/>
          <w:lang w:val="en-US" w:eastAsia="zh-CN"/>
        </w:rPr>
        <w:t>否</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Cs/>
          <w:sz w:val="28"/>
          <w:szCs w:val="28"/>
          <w:highlight w:val="none"/>
          <w:lang w:val="en-US" w:eastAsia="zh-CN"/>
        </w:rPr>
      </w:pPr>
      <w:r>
        <w:rPr>
          <w:rFonts w:hint="default" w:ascii="Times New Roman" w:hAnsi="Times New Roman" w:eastAsia="宋体" w:cs="Times New Roman"/>
          <w:bCs/>
          <w:sz w:val="28"/>
          <w:szCs w:val="28"/>
          <w:highlight w:val="none"/>
          <w:lang w:val="en-US" w:eastAsia="zh-CN"/>
        </w:rPr>
        <w:t>4、是否邀请专家：</w:t>
      </w:r>
      <w:r>
        <w:rPr>
          <w:rFonts w:hint="default" w:ascii="Times New Roman" w:hAnsi="Times New Roman" w:eastAsia="宋体" w:cs="Times New Roman"/>
          <w:bCs/>
          <w:sz w:val="28"/>
          <w:szCs w:val="28"/>
          <w:highlight w:val="none"/>
          <w:lang w:val="en-US" w:eastAsia="zh-CN"/>
        </w:rPr>
        <w:sym w:font="Wingdings 2" w:char="0052"/>
      </w:r>
      <w:r>
        <w:rPr>
          <w:rFonts w:hint="default" w:ascii="Times New Roman" w:hAnsi="Times New Roman" w:eastAsia="宋体" w:cs="Times New Roman"/>
          <w:bCs/>
          <w:sz w:val="28"/>
          <w:szCs w:val="28"/>
          <w:highlight w:val="none"/>
          <w:lang w:val="en-US" w:eastAsia="zh-CN"/>
        </w:rPr>
        <w:t>是  □否</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Cs/>
          <w:sz w:val="28"/>
          <w:szCs w:val="28"/>
          <w:highlight w:val="none"/>
          <w:lang w:val="en-US" w:eastAsia="zh-CN"/>
        </w:rPr>
      </w:pPr>
      <w:r>
        <w:rPr>
          <w:rFonts w:hint="default" w:ascii="Times New Roman" w:hAnsi="Times New Roman" w:eastAsia="宋体" w:cs="Times New Roman"/>
          <w:bCs/>
          <w:sz w:val="28"/>
          <w:szCs w:val="28"/>
          <w:highlight w:val="none"/>
          <w:lang w:val="en-US" w:eastAsia="zh-CN"/>
        </w:rPr>
        <w:t>5、是否邀请服务对象：</w:t>
      </w:r>
      <w:r>
        <w:rPr>
          <w:rFonts w:hint="default" w:ascii="Times New Roman" w:hAnsi="Times New Roman" w:eastAsia="宋体" w:cs="Times New Roman"/>
          <w:bCs/>
          <w:sz w:val="28"/>
          <w:szCs w:val="28"/>
          <w:highlight w:val="none"/>
          <w:lang w:val="en-US" w:eastAsia="zh-CN"/>
        </w:rPr>
        <w:sym w:font="Wingdings 2" w:char="0052"/>
      </w:r>
      <w:r>
        <w:rPr>
          <w:rFonts w:hint="default" w:ascii="Times New Roman" w:hAnsi="Times New Roman" w:eastAsia="宋体" w:cs="Times New Roman"/>
          <w:bCs/>
          <w:sz w:val="28"/>
          <w:szCs w:val="28"/>
          <w:highlight w:val="none"/>
          <w:lang w:val="en-US" w:eastAsia="zh-CN"/>
        </w:rPr>
        <w:t xml:space="preserve">是 </w:t>
      </w:r>
      <w:r>
        <w:rPr>
          <w:rFonts w:hint="default" w:ascii="Times New Roman" w:hAnsi="Times New Roman" w:eastAsia="宋体" w:cs="Times New Roman"/>
          <w:bCs/>
          <w:sz w:val="28"/>
          <w:szCs w:val="28"/>
          <w:highlight w:val="none"/>
          <w:lang w:val="en-US" w:eastAsia="zh-CN"/>
        </w:rPr>
        <w:sym w:font="Wingdings 2" w:char="00A3"/>
      </w:r>
      <w:r>
        <w:rPr>
          <w:rFonts w:hint="default" w:ascii="Times New Roman" w:hAnsi="Times New Roman" w:eastAsia="宋体" w:cs="Times New Roman"/>
          <w:bCs/>
          <w:sz w:val="28"/>
          <w:szCs w:val="28"/>
          <w:highlight w:val="none"/>
          <w:lang w:val="en-US" w:eastAsia="zh-CN"/>
        </w:rPr>
        <w:t>否</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Cs/>
          <w:sz w:val="28"/>
          <w:szCs w:val="28"/>
          <w:highlight w:val="none"/>
          <w:lang w:val="en-US" w:eastAsia="zh-CN"/>
        </w:rPr>
      </w:pPr>
      <w:r>
        <w:rPr>
          <w:rFonts w:hint="default" w:ascii="Times New Roman" w:hAnsi="Times New Roman" w:eastAsia="宋体" w:cs="Times New Roman"/>
          <w:bCs/>
          <w:sz w:val="28"/>
          <w:szCs w:val="28"/>
          <w:highlight w:val="none"/>
          <w:lang w:val="en-US" w:eastAsia="zh-CN"/>
        </w:rPr>
        <w:t xml:space="preserve">6、是否邀请第三方检测机构：□是 </w:t>
      </w:r>
      <w:r>
        <w:rPr>
          <w:rFonts w:hint="default" w:ascii="Times New Roman" w:hAnsi="Times New Roman" w:eastAsia="宋体" w:cs="Times New Roman"/>
          <w:bCs/>
          <w:sz w:val="28"/>
          <w:szCs w:val="28"/>
          <w:highlight w:val="none"/>
          <w:lang w:val="en-US" w:eastAsia="zh-CN"/>
        </w:rPr>
        <w:sym w:font="Wingdings 2" w:char="0052"/>
      </w:r>
      <w:r>
        <w:rPr>
          <w:rFonts w:hint="default" w:ascii="Times New Roman" w:hAnsi="Times New Roman" w:eastAsia="宋体" w:cs="Times New Roman"/>
          <w:bCs/>
          <w:sz w:val="28"/>
          <w:szCs w:val="28"/>
          <w:highlight w:val="none"/>
          <w:lang w:val="en-US" w:eastAsia="zh-CN"/>
        </w:rPr>
        <w:t>否</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Cs/>
          <w:sz w:val="28"/>
          <w:szCs w:val="28"/>
          <w:highlight w:val="none"/>
          <w:lang w:val="en-US" w:eastAsia="zh-CN"/>
        </w:rPr>
      </w:pPr>
      <w:r>
        <w:rPr>
          <w:rFonts w:hint="default" w:ascii="Times New Roman" w:hAnsi="Times New Roman" w:eastAsia="宋体" w:cs="Times New Roman"/>
          <w:bCs/>
          <w:sz w:val="28"/>
          <w:szCs w:val="28"/>
          <w:highlight w:val="none"/>
          <w:lang w:val="en-US" w:eastAsia="zh-CN"/>
        </w:rPr>
        <w:t>7、履约验收时间：所有服务内容完成后，自供应商提出验收之日起10日内，验收合同金额的100%。</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Cs/>
          <w:sz w:val="28"/>
          <w:szCs w:val="28"/>
          <w:highlight w:val="none"/>
          <w:lang w:val="en-US" w:eastAsia="zh-CN"/>
        </w:rPr>
      </w:pPr>
      <w:r>
        <w:rPr>
          <w:rFonts w:hint="default" w:ascii="Times New Roman" w:hAnsi="Times New Roman" w:eastAsia="宋体" w:cs="Times New Roman"/>
          <w:bCs/>
          <w:sz w:val="28"/>
          <w:szCs w:val="28"/>
          <w:highlight w:val="none"/>
          <w:lang w:val="en-US" w:eastAsia="zh-CN"/>
        </w:rPr>
        <w:t>8、验收组织的其他事项：</w:t>
      </w:r>
      <w:r>
        <w:rPr>
          <w:rFonts w:hint="default" w:ascii="Times New Roman" w:hAnsi="Times New Roman" w:eastAsia="宋体" w:cs="Times New Roman"/>
          <w:sz w:val="28"/>
          <w:szCs w:val="28"/>
          <w:highlight w:val="none"/>
        </w:rPr>
        <w:t>本项目采购人将按照政府采购相关法律法规以及《财政部关于进一步加强政府采购需求和履约验收管理的指导意见》（财库〔2016〕205号）的要求组织验收</w:t>
      </w:r>
      <w:r>
        <w:rPr>
          <w:rFonts w:hint="default" w:ascii="Times New Roman" w:hAnsi="Times New Roman" w:eastAsia="宋体" w:cs="Times New Roman"/>
          <w:bCs/>
          <w:sz w:val="28"/>
          <w:szCs w:val="2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Cs/>
          <w:sz w:val="28"/>
          <w:szCs w:val="28"/>
          <w:highlight w:val="none"/>
          <w:lang w:val="en-US" w:eastAsia="zh-CN"/>
        </w:rPr>
      </w:pPr>
      <w:r>
        <w:rPr>
          <w:rFonts w:hint="default" w:ascii="Times New Roman" w:hAnsi="Times New Roman" w:eastAsia="宋体" w:cs="Times New Roman"/>
          <w:bCs/>
          <w:sz w:val="28"/>
          <w:szCs w:val="28"/>
          <w:highlight w:val="none"/>
          <w:lang w:val="en-US" w:eastAsia="zh-CN"/>
        </w:rPr>
        <w:t>9、技术履约验收内容：按国家有关规定以及采购文件的质量要求和技术指标、供应商的响应文件及承诺、合同约定标准进行验收。</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Cs/>
          <w:sz w:val="28"/>
          <w:szCs w:val="28"/>
          <w:highlight w:val="none"/>
          <w:lang w:val="en-US" w:eastAsia="zh-CN"/>
        </w:rPr>
      </w:pPr>
      <w:r>
        <w:rPr>
          <w:rFonts w:hint="default" w:ascii="Times New Roman" w:hAnsi="Times New Roman" w:eastAsia="宋体" w:cs="Times New Roman"/>
          <w:bCs/>
          <w:sz w:val="28"/>
          <w:szCs w:val="28"/>
          <w:highlight w:val="none"/>
          <w:lang w:val="en-US" w:eastAsia="zh-CN"/>
        </w:rPr>
        <w:t>10、商务履约验收内容：按国家有关规定以及采购文件的质量要求和技术指标、供应商的响应文件及承诺、合同约定标准进行验收。</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宋体" w:cs="Times New Roman"/>
          <w:bCs/>
          <w:sz w:val="28"/>
          <w:szCs w:val="28"/>
          <w:highlight w:val="none"/>
          <w:lang w:val="en-US" w:eastAsia="zh-CN"/>
        </w:rPr>
      </w:pPr>
      <w:r>
        <w:rPr>
          <w:rFonts w:hint="default" w:ascii="Times New Roman" w:hAnsi="Times New Roman" w:eastAsia="宋体" w:cs="Times New Roman"/>
          <w:bCs/>
          <w:sz w:val="28"/>
          <w:szCs w:val="28"/>
          <w:highlight w:val="none"/>
          <w:lang w:val="en-US" w:eastAsia="zh-CN"/>
        </w:rPr>
        <w:t>11、履约验收标准：双方如对质量要求和技术指标的约定标准有相互抵触或异议的事项，按采购与响应文件中质量要求和技术指标比较优胜的原则确定该项的约定标准进行验收。</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56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bCs/>
          <w:sz w:val="28"/>
          <w:szCs w:val="28"/>
          <w:highlight w:val="none"/>
          <w:lang w:val="en-US" w:eastAsia="zh-CN"/>
        </w:rPr>
        <w:t>12、履约验收其他事项：未尽事宜应按照财政部关于进一步加强政府采购需求和履约验收管理的指导意见（财库〔2016〕205号）的要求。</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altName w:val="Wingdings"/>
    <w:panose1 w:val="05020102010507070707"/>
    <w:charset w:val="02"/>
    <w:family w:val="auto"/>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zMmMxODkwZTc4MjY3MzgzNDYwN2M1M2UwMDY3NzcifQ=="/>
  </w:docVars>
  <w:rsids>
    <w:rsidRoot w:val="55B06415"/>
    <w:rsid w:val="55B064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Times New Roman"/>
      <w:sz w:val="24"/>
    </w:rPr>
  </w:style>
  <w:style w:type="paragraph" w:styleId="3">
    <w:name w:val="Body Text First Indent"/>
    <w:basedOn w:val="2"/>
    <w:next w:val="1"/>
    <w:unhideWhenUsed/>
    <w:qFormat/>
    <w:uiPriority w:val="99"/>
    <w:pPr>
      <w:tabs>
        <w:tab w:val="left" w:pos="0"/>
      </w:tabs>
      <w:ind w:firstLine="420" w:firstLineChars="100"/>
      <w:jc w:val="both"/>
    </w:pPr>
    <w:rPr>
      <w:rFonts w:ascii="Calibri" w:hAnsi="Calibri" w:cs="Times New Roman"/>
      <w:sz w:val="21"/>
      <w:szCs w:val="22"/>
    </w:rPr>
  </w:style>
  <w:style w:type="paragraph" w:customStyle="1" w:styleId="6">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2026-07-13T08:51:00Z</dcterms:created>
  <dc:creator>重德招标</dc:creator>
  <cp:lastModifiedBy>重德招标</cp:lastModifiedBy>
  <dcterms:modified xsi:type="dcterms:W3CDTF">2026-07-13T08:51:39Z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5044011B4A6443CC921713E3ECCBEB4A_11</vt:lpwstr>
  </property>
</Properties>
</file>